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947" w:val="left" w:leader="none"/>
        </w:tabs>
        <w:spacing w:before="155"/>
        <w:ind w:left="219"/>
        <w:jc w:val="both"/>
      </w:pPr>
      <w:r>
        <w:rPr/>
        <w:t>TITLE</w:t>
      </w:r>
      <w:r>
        <w:rPr>
          <w:spacing w:val="-1"/>
        </w:rPr>
        <w:t> </w:t>
      </w:r>
      <w:r>
        <w:rPr/>
        <w:t>179</w:t>
        <w:tab/>
        <w:t>PUBLIC WATER SYSTEMS</w:t>
      </w:r>
    </w:p>
    <w:p>
      <w:pPr>
        <w:pStyle w:val="BodyText"/>
      </w:pPr>
    </w:p>
    <w:p>
      <w:pPr>
        <w:pStyle w:val="BodyText"/>
        <w:ind w:left="219"/>
        <w:jc w:val="both"/>
      </w:pPr>
      <w:r>
        <w:rPr/>
        <w:t>CHAPTER 19 LONG TERM 1 (LT 1) ENHANCED SURFACE WATER TREATMENT (for</w:t>
      </w:r>
    </w:p>
    <w:p>
      <w:pPr>
        <w:pStyle w:val="BodyText"/>
        <w:spacing w:before="1"/>
        <w:ind w:left="1945"/>
      </w:pPr>
      <w:r>
        <w:rPr/>
        <w:t>Systems Serving Fewer Than 10,000 People)</w:t>
      </w:r>
    </w:p>
    <w:p>
      <w:pPr>
        <w:pStyle w:val="BodyText"/>
        <w:rPr>
          <w:sz w:val="24"/>
        </w:rPr>
      </w:pPr>
    </w:p>
    <w:p>
      <w:pPr>
        <w:pStyle w:val="BodyText"/>
        <w:spacing w:before="10"/>
        <w:rPr>
          <w:sz w:val="19"/>
        </w:rPr>
      </w:pPr>
    </w:p>
    <w:p>
      <w:pPr>
        <w:pStyle w:val="ListParagraph"/>
        <w:numPr>
          <w:ilvl w:val="1"/>
          <w:numId w:val="1"/>
        </w:numPr>
        <w:tabs>
          <w:tab w:pos="1049" w:val="left" w:leader="none"/>
        </w:tabs>
        <w:spacing w:line="240" w:lineRule="auto" w:before="1" w:after="0"/>
        <w:ind w:left="220" w:right="216" w:hanging="1"/>
        <w:jc w:val="both"/>
        <w:rPr>
          <w:sz w:val="22"/>
        </w:rPr>
      </w:pPr>
      <w:r>
        <w:rPr>
          <w:sz w:val="22"/>
          <w:u w:val="single"/>
        </w:rPr>
        <w:t>SCOPE AND AUTHORITY</w:t>
      </w:r>
      <w:r>
        <w:rPr>
          <w:sz w:val="22"/>
        </w:rPr>
        <w:t>: These regulations establish requirements for filtration and disinfection that are in addition to criteria under which filtration and disinfection are required under 179 NAC 13. This chapter (179 NAC 19) applies to public water systems that use surface water or ground water under the direct influence of surface water as a source and serve fewer than 10,000 persons. The requirements were effective for the purpose of compliance beginning January 1</w:t>
      </w:r>
      <w:r>
        <w:rPr>
          <w:strike/>
          <w:sz w:val="22"/>
        </w:rPr>
        <w:t>4</w:t>
      </w:r>
      <w:r>
        <w:rPr>
          <w:strike w:val="0"/>
          <w:sz w:val="22"/>
        </w:rPr>
        <w:t>, 2005 (which date is listed for informational purposes only) except where otherwise noted. The statutory authority is found in </w:t>
      </w:r>
      <w:r>
        <w:rPr>
          <w:strike w:val="0"/>
          <w:sz w:val="22"/>
          <w:u w:val="single"/>
        </w:rPr>
        <w:t>Neb. Rev. Stat</w:t>
      </w:r>
      <w:r>
        <w:rPr>
          <w:strike w:val="0"/>
          <w:sz w:val="22"/>
        </w:rPr>
        <w:t>. §§71-5301 to</w:t>
      </w:r>
      <w:r>
        <w:rPr>
          <w:strike w:val="0"/>
          <w:spacing w:val="-6"/>
          <w:sz w:val="22"/>
        </w:rPr>
        <w:t> </w:t>
      </w:r>
      <w:r>
        <w:rPr>
          <w:strike w:val="0"/>
          <w:sz w:val="22"/>
        </w:rPr>
        <w:t>71-5313.</w:t>
      </w:r>
    </w:p>
    <w:p>
      <w:pPr>
        <w:pStyle w:val="BodyText"/>
        <w:spacing w:before="10"/>
        <w:rPr>
          <w:sz w:val="13"/>
        </w:rPr>
      </w:pPr>
    </w:p>
    <w:p>
      <w:pPr>
        <w:pStyle w:val="ListParagraph"/>
        <w:numPr>
          <w:ilvl w:val="1"/>
          <w:numId w:val="1"/>
        </w:numPr>
        <w:tabs>
          <w:tab w:pos="1027" w:val="left" w:leader="none"/>
        </w:tabs>
        <w:spacing w:line="240" w:lineRule="auto" w:before="92" w:after="0"/>
        <w:ind w:left="1026" w:right="0" w:hanging="807"/>
        <w:jc w:val="left"/>
        <w:rPr>
          <w:sz w:val="22"/>
        </w:rPr>
      </w:pPr>
      <w:r>
        <w:rPr>
          <w:sz w:val="22"/>
          <w:u w:val="single"/>
        </w:rPr>
        <w:t>DEFINITIONS</w:t>
      </w:r>
    </w:p>
    <w:p>
      <w:pPr>
        <w:pStyle w:val="BodyText"/>
        <w:rPr>
          <w:sz w:val="14"/>
        </w:rPr>
      </w:pPr>
    </w:p>
    <w:p>
      <w:pPr>
        <w:pStyle w:val="BodyText"/>
        <w:spacing w:before="93"/>
        <w:ind w:left="220" w:right="218"/>
        <w:jc w:val="both"/>
      </w:pPr>
      <w:r>
        <w:rPr>
          <w:u w:val="single"/>
        </w:rPr>
        <w:t>Comprehensive performance evaluation (CPE)</w:t>
      </w:r>
      <w:r>
        <w:rPr/>
        <w:t> is a thorough review and analysis of a treatment plant’s performance-based capabilities and associated administrative, operation and maintenance practices. It is conducted to identify factors that may be adversely impacting a plant’s capability to achieve compliance and emphasizes approaches that can be implemented without significant capital improvements. For the purpose of compliance with 179 NAC 17 and 179 NAC 19, the comprehensive performance evaluation must consist of at least the following components: Assessment of plant performance; evaluation of major unit processes; identification and prioritization of performance limiting factors; assessment of the applicability of comprehensive technical assistance; and preparation of a CPE</w:t>
      </w:r>
      <w:r>
        <w:rPr>
          <w:spacing w:val="-3"/>
        </w:rPr>
        <w:t> </w:t>
      </w:r>
      <w:r>
        <w:rPr/>
        <w:t>report.</w:t>
      </w:r>
    </w:p>
    <w:p>
      <w:pPr>
        <w:pStyle w:val="BodyText"/>
        <w:spacing w:before="11"/>
        <w:rPr>
          <w:sz w:val="21"/>
        </w:rPr>
      </w:pPr>
    </w:p>
    <w:p>
      <w:pPr>
        <w:pStyle w:val="BodyText"/>
        <w:ind w:left="220" w:right="217"/>
        <w:jc w:val="both"/>
      </w:pPr>
      <w:r>
        <w:rPr>
          <w:u w:val="single"/>
        </w:rPr>
        <w:t>Disinfection profile</w:t>
      </w:r>
      <w:r>
        <w:rPr/>
        <w:t> is a summary of </w:t>
      </w:r>
      <w:r>
        <w:rPr>
          <w:i/>
        </w:rPr>
        <w:t>Giardia lamblia </w:t>
      </w:r>
      <w:r>
        <w:rPr/>
        <w:t>inactivation through the treatment plant.  The procedure for developing a disinfection profile is contained in 179 NAC 17-004 (Disinfection profiling</w:t>
      </w:r>
      <w:r>
        <w:rPr>
          <w:spacing w:val="9"/>
        </w:rPr>
        <w:t> </w:t>
      </w:r>
      <w:r>
        <w:rPr/>
        <w:t>and</w:t>
      </w:r>
      <w:r>
        <w:rPr>
          <w:spacing w:val="10"/>
        </w:rPr>
        <w:t> </w:t>
      </w:r>
      <w:r>
        <w:rPr/>
        <w:t>benchmarking)</w:t>
      </w:r>
      <w:r>
        <w:rPr>
          <w:spacing w:val="10"/>
        </w:rPr>
        <w:t> </w:t>
      </w:r>
      <w:r>
        <w:rPr/>
        <w:t>in</w:t>
      </w:r>
      <w:r>
        <w:rPr>
          <w:spacing w:val="9"/>
        </w:rPr>
        <w:t> </w:t>
      </w:r>
      <w:r>
        <w:rPr/>
        <w:t>179</w:t>
      </w:r>
      <w:r>
        <w:rPr>
          <w:spacing w:val="10"/>
        </w:rPr>
        <w:t> </w:t>
      </w:r>
      <w:r>
        <w:rPr/>
        <w:t>NAC</w:t>
      </w:r>
      <w:r>
        <w:rPr>
          <w:spacing w:val="11"/>
        </w:rPr>
        <w:t> </w:t>
      </w:r>
      <w:r>
        <w:rPr/>
        <w:t>17</w:t>
      </w:r>
      <w:r>
        <w:rPr>
          <w:spacing w:val="10"/>
        </w:rPr>
        <w:t> </w:t>
      </w:r>
      <w:r>
        <w:rPr/>
        <w:t>and</w:t>
      </w:r>
      <w:r>
        <w:rPr>
          <w:spacing w:val="11"/>
        </w:rPr>
        <w:t> </w:t>
      </w:r>
      <w:r>
        <w:rPr/>
        <w:t>179</w:t>
      </w:r>
      <w:r>
        <w:rPr>
          <w:spacing w:val="11"/>
        </w:rPr>
        <w:t> </w:t>
      </w:r>
      <w:r>
        <w:rPr/>
        <w:t>NAC</w:t>
      </w:r>
      <w:r>
        <w:rPr>
          <w:spacing w:val="10"/>
        </w:rPr>
        <w:t> </w:t>
      </w:r>
      <w:r>
        <w:rPr/>
        <w:t>19-007.01</w:t>
      </w:r>
      <w:r>
        <w:rPr>
          <w:spacing w:val="11"/>
        </w:rPr>
        <w:t> </w:t>
      </w:r>
      <w:r>
        <w:rPr/>
        <w:t>to</w:t>
      </w:r>
      <w:r>
        <w:rPr>
          <w:spacing w:val="11"/>
        </w:rPr>
        <w:t> </w:t>
      </w:r>
      <w:r>
        <w:rPr/>
        <w:t>19-007.07</w:t>
      </w:r>
      <w:r>
        <w:rPr>
          <w:spacing w:val="11"/>
        </w:rPr>
        <w:t> </w:t>
      </w:r>
      <w:r>
        <w:rPr/>
        <w:t>(Disinfection</w:t>
      </w:r>
    </w:p>
    <w:p>
      <w:pPr>
        <w:pStyle w:val="BodyText"/>
        <w:spacing w:before="1"/>
        <w:ind w:left="220"/>
        <w:jc w:val="both"/>
      </w:pPr>
      <w:r>
        <w:rPr/>
        <w:t>profile) in 179 NAC 19.</w:t>
      </w:r>
    </w:p>
    <w:p>
      <w:pPr>
        <w:pStyle w:val="BodyText"/>
        <w:spacing w:before="10"/>
        <w:rPr>
          <w:sz w:val="21"/>
        </w:rPr>
      </w:pPr>
    </w:p>
    <w:p>
      <w:pPr>
        <w:pStyle w:val="BodyText"/>
        <w:spacing w:before="1"/>
        <w:ind w:left="220" w:right="217"/>
        <w:jc w:val="both"/>
      </w:pPr>
      <w:r>
        <w:rPr>
          <w:u w:val="single"/>
        </w:rPr>
        <w:t>Ground water under the direct influence of surface water (GWUDI)</w:t>
      </w:r>
      <w:r>
        <w:rPr/>
        <w:t> means any water beneath the surface of the ground with significant occurrence of insects or other macroorganisms, algae, or large-diameter pathogens such as </w:t>
      </w:r>
      <w:r>
        <w:rPr>
          <w:i/>
        </w:rPr>
        <w:t>Giardia lamblia </w:t>
      </w:r>
      <w:r>
        <w:rPr/>
        <w:t>or </w:t>
      </w:r>
      <w:r>
        <w:rPr>
          <w:i/>
        </w:rPr>
        <w:t>Cryptosporidium</w:t>
      </w:r>
      <w:r>
        <w:rPr/>
        <w:t>, or significant and relatively rapid shifts in water characteristics such as turbidity, temperature, conductivity, or pH which closely correlate to climatological or surface water conditions. Direct influence must be determined</w:t>
      </w:r>
      <w:r>
        <w:rPr>
          <w:spacing w:val="34"/>
        </w:rPr>
        <w:t> </w:t>
      </w:r>
      <w:r>
        <w:rPr/>
        <w:t>for</w:t>
      </w:r>
      <w:r>
        <w:rPr>
          <w:spacing w:val="35"/>
        </w:rPr>
        <w:t> </w:t>
      </w:r>
      <w:r>
        <w:rPr/>
        <w:t>individual</w:t>
      </w:r>
      <w:r>
        <w:rPr>
          <w:spacing w:val="34"/>
        </w:rPr>
        <w:t> </w:t>
      </w:r>
      <w:r>
        <w:rPr/>
        <w:t>sources</w:t>
      </w:r>
      <w:r>
        <w:rPr>
          <w:spacing w:val="35"/>
        </w:rPr>
        <w:t> </w:t>
      </w:r>
      <w:r>
        <w:rPr/>
        <w:t>in</w:t>
      </w:r>
      <w:r>
        <w:rPr>
          <w:spacing w:val="34"/>
        </w:rPr>
        <w:t> </w:t>
      </w:r>
      <w:r>
        <w:rPr/>
        <w:t>accordance</w:t>
      </w:r>
      <w:r>
        <w:rPr>
          <w:spacing w:val="34"/>
        </w:rPr>
        <w:t> </w:t>
      </w:r>
      <w:r>
        <w:rPr/>
        <w:t>with</w:t>
      </w:r>
      <w:r>
        <w:rPr>
          <w:spacing w:val="35"/>
        </w:rPr>
        <w:t> </w:t>
      </w:r>
      <w:r>
        <w:rPr/>
        <w:t>the</w:t>
      </w:r>
      <w:r>
        <w:rPr>
          <w:spacing w:val="34"/>
        </w:rPr>
        <w:t> </w:t>
      </w:r>
      <w:r>
        <w:rPr/>
        <w:t>criteria</w:t>
      </w:r>
      <w:r>
        <w:rPr>
          <w:spacing w:val="35"/>
        </w:rPr>
        <w:t> </w:t>
      </w:r>
      <w:r>
        <w:rPr/>
        <w:t>established</w:t>
      </w:r>
      <w:r>
        <w:rPr>
          <w:spacing w:val="34"/>
        </w:rPr>
        <w:t> </w:t>
      </w:r>
      <w:r>
        <w:rPr/>
        <w:t>by</w:t>
      </w:r>
      <w:r>
        <w:rPr>
          <w:spacing w:val="35"/>
        </w:rPr>
        <w:t> </w:t>
      </w:r>
      <w:r>
        <w:rPr/>
        <w:t>the</w:t>
      </w:r>
      <w:r>
        <w:rPr>
          <w:spacing w:val="34"/>
        </w:rPr>
        <w:t> </w:t>
      </w:r>
      <w:r>
        <w:rPr/>
        <w:t>Director.</w:t>
      </w:r>
    </w:p>
    <w:p>
      <w:pPr>
        <w:spacing w:after="0"/>
        <w:jc w:val="both"/>
        <w:sectPr>
          <w:headerReference w:type="default" r:id="rId5"/>
          <w:footerReference w:type="default" r:id="rId6"/>
          <w:type w:val="continuous"/>
          <w:pgSz w:w="12240" w:h="15840"/>
          <w:pgMar w:header="725" w:footer="745" w:top="1560" w:bottom="940" w:left="1220" w:right="1220"/>
          <w:pgNumType w:start="1"/>
        </w:sectPr>
      </w:pPr>
    </w:p>
    <w:p>
      <w:pPr>
        <w:pStyle w:val="BodyText"/>
        <w:spacing w:before="155"/>
        <w:ind w:left="219" w:right="220"/>
        <w:jc w:val="both"/>
      </w:pPr>
      <w:r>
        <w:rPr/>
        <w:t>The Director determination of direct influence may be based on site-specific measurements of water quality and/or documentation of well construction characteristics and geology with field evaluation.</w:t>
      </w:r>
    </w:p>
    <w:p>
      <w:pPr>
        <w:pStyle w:val="BodyText"/>
        <w:spacing w:before="11"/>
        <w:rPr>
          <w:sz w:val="21"/>
        </w:rPr>
      </w:pPr>
    </w:p>
    <w:p>
      <w:pPr>
        <w:pStyle w:val="ListParagraph"/>
        <w:numPr>
          <w:ilvl w:val="1"/>
          <w:numId w:val="1"/>
        </w:numPr>
        <w:tabs>
          <w:tab w:pos="1040" w:val="left" w:leader="none"/>
        </w:tabs>
        <w:spacing w:line="240" w:lineRule="auto" w:before="0" w:after="0"/>
        <w:ind w:left="220" w:right="215" w:hanging="1"/>
        <w:jc w:val="both"/>
        <w:rPr>
          <w:sz w:val="22"/>
        </w:rPr>
      </w:pPr>
      <w:r>
        <w:rPr>
          <w:sz w:val="22"/>
          <w:u w:val="single"/>
        </w:rPr>
        <w:t>GENERAL</w:t>
      </w:r>
      <w:r>
        <w:rPr>
          <w:sz w:val="22"/>
        </w:rPr>
        <w:t>: These regulations establish or extend treatment technique requirements in lieu of maximum contaminant levels for the following contaminants: </w:t>
      </w:r>
      <w:r>
        <w:rPr>
          <w:i/>
          <w:sz w:val="22"/>
        </w:rPr>
        <w:t>Giardia lamblia</w:t>
      </w:r>
      <w:r>
        <w:rPr>
          <w:sz w:val="22"/>
        </w:rPr>
        <w:t>, viruses, heterotrophic plate count bacteria, </w:t>
      </w:r>
      <w:r>
        <w:rPr>
          <w:i/>
          <w:sz w:val="22"/>
        </w:rPr>
        <w:t>Legionella</w:t>
      </w:r>
      <w:r>
        <w:rPr>
          <w:sz w:val="22"/>
        </w:rPr>
        <w:t>, </w:t>
      </w:r>
      <w:r>
        <w:rPr>
          <w:i/>
          <w:sz w:val="22"/>
        </w:rPr>
        <w:t>Cryptosporidium </w:t>
      </w:r>
      <w:r>
        <w:rPr>
          <w:sz w:val="22"/>
        </w:rPr>
        <w:t>and turbidity. The treatment technique requirements consist of installing and properly operating water treatment processes which reliably</w:t>
      </w:r>
      <w:r>
        <w:rPr>
          <w:spacing w:val="-1"/>
          <w:sz w:val="22"/>
        </w:rPr>
        <w:t> </w:t>
      </w:r>
      <w:r>
        <w:rPr>
          <w:sz w:val="22"/>
        </w:rPr>
        <w:t>achieve:</w:t>
      </w:r>
    </w:p>
    <w:p>
      <w:pPr>
        <w:pStyle w:val="BodyText"/>
      </w:pPr>
    </w:p>
    <w:p>
      <w:pPr>
        <w:pStyle w:val="ListParagraph"/>
        <w:numPr>
          <w:ilvl w:val="2"/>
          <w:numId w:val="1"/>
        </w:numPr>
        <w:tabs>
          <w:tab w:pos="1372" w:val="left" w:leader="none"/>
        </w:tabs>
        <w:spacing w:line="240" w:lineRule="auto" w:before="0" w:after="0"/>
        <w:ind w:left="1372" w:right="216" w:hanging="576"/>
        <w:jc w:val="both"/>
        <w:rPr>
          <w:sz w:val="22"/>
        </w:rPr>
      </w:pPr>
      <w:r>
        <w:rPr>
          <w:sz w:val="22"/>
        </w:rPr>
        <w:t>At least 99% (2 log) removal of </w:t>
      </w:r>
      <w:r>
        <w:rPr>
          <w:i/>
          <w:sz w:val="22"/>
        </w:rPr>
        <w:t>Cryptosporidium </w:t>
      </w:r>
      <w:r>
        <w:rPr>
          <w:sz w:val="22"/>
        </w:rPr>
        <w:t>between a point where the raw water is not subject to recontamination by surface water runoff and a point downstream before or at the first customer for filtered systems, or </w:t>
      </w:r>
      <w:r>
        <w:rPr>
          <w:i/>
          <w:sz w:val="22"/>
        </w:rPr>
        <w:t>Cryptosporidium </w:t>
      </w:r>
      <w:r>
        <w:rPr>
          <w:sz w:val="22"/>
        </w:rPr>
        <w:t>control under the watershed control plan for unfiltered systems;</w:t>
      </w:r>
      <w:r>
        <w:rPr>
          <w:spacing w:val="-4"/>
          <w:sz w:val="22"/>
        </w:rPr>
        <w:t> </w:t>
      </w:r>
      <w:r>
        <w:rPr>
          <w:sz w:val="22"/>
        </w:rPr>
        <w:t>and</w:t>
      </w:r>
    </w:p>
    <w:p>
      <w:pPr>
        <w:pStyle w:val="BodyText"/>
      </w:pPr>
    </w:p>
    <w:p>
      <w:pPr>
        <w:pStyle w:val="ListParagraph"/>
        <w:numPr>
          <w:ilvl w:val="2"/>
          <w:numId w:val="1"/>
        </w:numPr>
        <w:tabs>
          <w:tab w:pos="1372" w:val="left" w:leader="none"/>
        </w:tabs>
        <w:spacing w:line="240" w:lineRule="auto" w:before="0" w:after="0"/>
        <w:ind w:left="1372" w:right="220" w:hanging="577"/>
        <w:jc w:val="both"/>
        <w:rPr>
          <w:sz w:val="22"/>
        </w:rPr>
      </w:pPr>
      <w:r>
        <w:rPr>
          <w:sz w:val="22"/>
        </w:rPr>
        <w:t>Compliance with the profiling and benchmark requirements in 179 NAC 19-007.01 through</w:t>
      </w:r>
      <w:r>
        <w:rPr>
          <w:spacing w:val="-1"/>
          <w:sz w:val="22"/>
        </w:rPr>
        <w:t> </w:t>
      </w:r>
      <w:r>
        <w:rPr>
          <w:sz w:val="22"/>
        </w:rPr>
        <w:t>19-008.05.</w:t>
      </w:r>
    </w:p>
    <w:p>
      <w:pPr>
        <w:pStyle w:val="BodyText"/>
        <w:spacing w:before="1"/>
      </w:pPr>
    </w:p>
    <w:p>
      <w:pPr>
        <w:pStyle w:val="ListParagraph"/>
        <w:numPr>
          <w:ilvl w:val="1"/>
          <w:numId w:val="1"/>
        </w:numPr>
        <w:tabs>
          <w:tab w:pos="1089" w:val="left" w:leader="none"/>
        </w:tabs>
        <w:spacing w:line="240" w:lineRule="auto" w:before="0" w:after="0"/>
        <w:ind w:left="220" w:right="217" w:firstLine="0"/>
        <w:jc w:val="both"/>
        <w:rPr>
          <w:sz w:val="22"/>
        </w:rPr>
      </w:pPr>
      <w:r>
        <w:rPr>
          <w:sz w:val="22"/>
          <w:u w:val="single"/>
        </w:rPr>
        <w:t>BASIC REQUIREMENTS</w:t>
      </w:r>
      <w:r>
        <w:rPr>
          <w:sz w:val="22"/>
        </w:rPr>
        <w:t>: Systems must comply with all the following requirements that are applicable to their</w:t>
      </w:r>
      <w:r>
        <w:rPr>
          <w:spacing w:val="-2"/>
          <w:sz w:val="22"/>
        </w:rPr>
        <w:t> </w:t>
      </w:r>
      <w:r>
        <w:rPr>
          <w:sz w:val="22"/>
        </w:rPr>
        <w:t>system:</w:t>
      </w:r>
    </w:p>
    <w:p>
      <w:pPr>
        <w:pStyle w:val="BodyText"/>
        <w:spacing w:before="11"/>
        <w:rPr>
          <w:sz w:val="21"/>
        </w:rPr>
      </w:pPr>
    </w:p>
    <w:p>
      <w:pPr>
        <w:pStyle w:val="ListParagraph"/>
        <w:numPr>
          <w:ilvl w:val="2"/>
          <w:numId w:val="1"/>
        </w:numPr>
        <w:tabs>
          <w:tab w:pos="1372" w:val="left" w:leader="none"/>
        </w:tabs>
        <w:spacing w:line="240" w:lineRule="auto" w:before="0" w:after="0"/>
        <w:ind w:left="1372" w:right="220" w:hanging="577"/>
        <w:jc w:val="both"/>
        <w:rPr>
          <w:sz w:val="22"/>
        </w:rPr>
      </w:pPr>
      <w:r>
        <w:rPr>
          <w:sz w:val="22"/>
        </w:rPr>
        <w:t>Finished water reservoirs must be covered as described in 179 NAC 19-005.01 and 19-005.02.</w:t>
      </w:r>
    </w:p>
    <w:p>
      <w:pPr>
        <w:pStyle w:val="BodyText"/>
      </w:pPr>
    </w:p>
    <w:p>
      <w:pPr>
        <w:pStyle w:val="ListParagraph"/>
        <w:numPr>
          <w:ilvl w:val="2"/>
          <w:numId w:val="1"/>
        </w:numPr>
        <w:tabs>
          <w:tab w:pos="1372" w:val="left" w:leader="none"/>
        </w:tabs>
        <w:spacing w:line="240" w:lineRule="auto" w:before="0" w:after="0"/>
        <w:ind w:left="1372" w:right="216" w:hanging="577"/>
        <w:jc w:val="both"/>
        <w:rPr>
          <w:sz w:val="22"/>
        </w:rPr>
      </w:pPr>
      <w:r>
        <w:rPr>
          <w:sz w:val="22"/>
        </w:rPr>
        <w:t>Public water systems that are unfiltered must comply with the updated watershed control requirements described in 179 NAC 19-006.01 to</w:t>
      </w:r>
      <w:r>
        <w:rPr>
          <w:spacing w:val="-4"/>
          <w:sz w:val="22"/>
        </w:rPr>
        <w:t> </w:t>
      </w:r>
      <w:r>
        <w:rPr>
          <w:sz w:val="22"/>
        </w:rPr>
        <w:t>19-006.03;</w:t>
      </w:r>
    </w:p>
    <w:p>
      <w:pPr>
        <w:pStyle w:val="BodyText"/>
      </w:pPr>
    </w:p>
    <w:p>
      <w:pPr>
        <w:pStyle w:val="ListParagraph"/>
        <w:numPr>
          <w:ilvl w:val="2"/>
          <w:numId w:val="1"/>
        </w:numPr>
        <w:tabs>
          <w:tab w:pos="1372" w:val="left" w:leader="none"/>
        </w:tabs>
        <w:spacing w:line="240" w:lineRule="auto" w:before="0" w:after="0"/>
        <w:ind w:left="1371" w:right="218" w:hanging="576"/>
        <w:jc w:val="both"/>
        <w:rPr>
          <w:sz w:val="22"/>
        </w:rPr>
      </w:pPr>
      <w:r>
        <w:rPr>
          <w:sz w:val="22"/>
        </w:rPr>
        <w:t>Community and non-transient non-community water systems must develop a disinfection profile as described in 179 NAC 19-007.01 to</w:t>
      </w:r>
      <w:r>
        <w:rPr>
          <w:spacing w:val="-5"/>
          <w:sz w:val="22"/>
        </w:rPr>
        <w:t> </w:t>
      </w:r>
      <w:r>
        <w:rPr>
          <w:sz w:val="22"/>
        </w:rPr>
        <w:t>19-007.07;</w:t>
      </w:r>
    </w:p>
    <w:p>
      <w:pPr>
        <w:pStyle w:val="BodyText"/>
      </w:pPr>
    </w:p>
    <w:p>
      <w:pPr>
        <w:pStyle w:val="ListParagraph"/>
        <w:numPr>
          <w:ilvl w:val="2"/>
          <w:numId w:val="1"/>
        </w:numPr>
        <w:tabs>
          <w:tab w:pos="1372" w:val="left" w:leader="none"/>
        </w:tabs>
        <w:spacing w:line="240" w:lineRule="auto" w:before="1" w:after="0"/>
        <w:ind w:left="1371" w:right="217" w:hanging="577"/>
        <w:jc w:val="both"/>
        <w:rPr>
          <w:sz w:val="22"/>
        </w:rPr>
      </w:pPr>
      <w:r>
        <w:rPr>
          <w:sz w:val="22"/>
        </w:rPr>
        <w:t>Systems considering making a significant change to their disinfection practices must develop a disinfection benchmark and consult with the Director for approval of the change as described in 179 NAC 19-008.01 to</w:t>
      </w:r>
      <w:r>
        <w:rPr>
          <w:spacing w:val="-3"/>
          <w:sz w:val="22"/>
        </w:rPr>
        <w:t> </w:t>
      </w:r>
      <w:r>
        <w:rPr>
          <w:sz w:val="22"/>
        </w:rPr>
        <w:t>19-008.05;</w:t>
      </w:r>
    </w:p>
    <w:p>
      <w:pPr>
        <w:pStyle w:val="BodyText"/>
        <w:spacing w:before="11"/>
        <w:rPr>
          <w:sz w:val="21"/>
        </w:rPr>
      </w:pPr>
    </w:p>
    <w:p>
      <w:pPr>
        <w:pStyle w:val="ListParagraph"/>
        <w:numPr>
          <w:ilvl w:val="2"/>
          <w:numId w:val="1"/>
        </w:numPr>
        <w:tabs>
          <w:tab w:pos="1372" w:val="left" w:leader="none"/>
        </w:tabs>
        <w:spacing w:line="240" w:lineRule="auto" w:before="0" w:after="0"/>
        <w:ind w:left="1371" w:right="215" w:hanging="577"/>
        <w:jc w:val="both"/>
        <w:rPr>
          <w:sz w:val="22"/>
        </w:rPr>
      </w:pPr>
      <w:r>
        <w:rPr>
          <w:sz w:val="22"/>
        </w:rPr>
        <w:t>Filtered systems must comply with the combined filter effluent requirements as described in 179 NAC 19-009.01 to</w:t>
      </w:r>
      <w:r>
        <w:rPr>
          <w:spacing w:val="-2"/>
          <w:sz w:val="22"/>
        </w:rPr>
        <w:t> </w:t>
      </w:r>
      <w:r>
        <w:rPr>
          <w:sz w:val="22"/>
        </w:rPr>
        <w:t>19-009.04;</w:t>
      </w:r>
    </w:p>
    <w:p>
      <w:pPr>
        <w:pStyle w:val="BodyText"/>
        <w:spacing w:before="10"/>
        <w:rPr>
          <w:sz w:val="21"/>
        </w:rPr>
      </w:pPr>
    </w:p>
    <w:p>
      <w:pPr>
        <w:pStyle w:val="ListParagraph"/>
        <w:numPr>
          <w:ilvl w:val="2"/>
          <w:numId w:val="1"/>
        </w:numPr>
        <w:tabs>
          <w:tab w:pos="1372" w:val="left" w:leader="none"/>
        </w:tabs>
        <w:spacing w:line="240" w:lineRule="auto" w:before="1" w:after="0"/>
        <w:ind w:left="1371" w:right="214" w:hanging="577"/>
        <w:jc w:val="both"/>
        <w:rPr>
          <w:sz w:val="22"/>
        </w:rPr>
      </w:pPr>
      <w:r>
        <w:rPr>
          <w:sz w:val="22"/>
        </w:rPr>
        <w:t>Filtered systems that use conventional or direct filtration must comply with</w:t>
      </w:r>
      <w:r>
        <w:rPr>
          <w:spacing w:val="37"/>
          <w:sz w:val="22"/>
        </w:rPr>
        <w:t> </w:t>
      </w:r>
      <w:r>
        <w:rPr>
          <w:sz w:val="22"/>
        </w:rPr>
        <w:t>the individual filter turbidity requirements as described in 179 NAC 19-010.01 to 19- 010.05;</w:t>
      </w:r>
      <w:r>
        <w:rPr>
          <w:spacing w:val="-1"/>
          <w:sz w:val="22"/>
        </w:rPr>
        <w:t> </w:t>
      </w:r>
      <w:r>
        <w:rPr>
          <w:sz w:val="22"/>
        </w:rPr>
        <w:t>and</w:t>
      </w:r>
    </w:p>
    <w:p>
      <w:pPr>
        <w:pStyle w:val="BodyText"/>
      </w:pPr>
    </w:p>
    <w:p>
      <w:pPr>
        <w:pStyle w:val="ListParagraph"/>
        <w:numPr>
          <w:ilvl w:val="2"/>
          <w:numId w:val="1"/>
        </w:numPr>
        <w:tabs>
          <w:tab w:pos="1372" w:val="left" w:leader="none"/>
        </w:tabs>
        <w:spacing w:line="240" w:lineRule="auto" w:before="1" w:after="0"/>
        <w:ind w:left="1371" w:right="216" w:hanging="577"/>
        <w:jc w:val="both"/>
        <w:rPr>
          <w:sz w:val="22"/>
        </w:rPr>
      </w:pPr>
      <w:r>
        <w:rPr>
          <w:sz w:val="22"/>
        </w:rPr>
        <w:t>Systems must comply with applicable reporting and recordkeeping requirements as described in 179 NAC 19-011.01 and</w:t>
      </w:r>
      <w:r>
        <w:rPr>
          <w:spacing w:val="-2"/>
          <w:sz w:val="22"/>
        </w:rPr>
        <w:t> </w:t>
      </w:r>
      <w:r>
        <w:rPr>
          <w:sz w:val="22"/>
        </w:rPr>
        <w:t>19-011.02.</w:t>
      </w:r>
    </w:p>
    <w:p>
      <w:pPr>
        <w:pStyle w:val="BodyText"/>
        <w:spacing w:before="10"/>
        <w:rPr>
          <w:sz w:val="21"/>
        </w:rPr>
      </w:pPr>
    </w:p>
    <w:p>
      <w:pPr>
        <w:pStyle w:val="ListParagraph"/>
        <w:numPr>
          <w:ilvl w:val="1"/>
          <w:numId w:val="1"/>
        </w:numPr>
        <w:tabs>
          <w:tab w:pos="1027" w:val="left" w:leader="none"/>
        </w:tabs>
        <w:spacing w:line="240" w:lineRule="auto" w:before="1" w:after="0"/>
        <w:ind w:left="1026" w:right="0" w:hanging="807"/>
        <w:jc w:val="both"/>
        <w:rPr>
          <w:sz w:val="22"/>
        </w:rPr>
      </w:pPr>
      <w:r>
        <w:rPr>
          <w:sz w:val="22"/>
          <w:u w:val="single"/>
        </w:rPr>
        <w:t>FINISHED WATER RESERVOIRS</w:t>
      </w:r>
    </w:p>
    <w:p>
      <w:pPr>
        <w:pStyle w:val="BodyText"/>
        <w:spacing w:before="11"/>
        <w:rPr>
          <w:sz w:val="13"/>
        </w:rPr>
      </w:pPr>
    </w:p>
    <w:p>
      <w:pPr>
        <w:pStyle w:val="BodyText"/>
        <w:spacing w:before="93"/>
        <w:ind w:left="796" w:right="219"/>
        <w:jc w:val="both"/>
      </w:pPr>
      <w:r>
        <w:rPr>
          <w:u w:val="single"/>
        </w:rPr>
        <w:t>19-005.01</w:t>
      </w:r>
      <w:r>
        <w:rPr/>
        <w:t> All public water systems that use surface water or ground water under the direct influence of surface water and serve fewer than 10,000 persons are subject to the finished water reservoir</w:t>
      </w:r>
      <w:r>
        <w:rPr>
          <w:spacing w:val="-1"/>
        </w:rPr>
        <w:t> </w:t>
      </w:r>
      <w:r>
        <w:rPr/>
        <w:t>requirements.</w:t>
      </w:r>
    </w:p>
    <w:p>
      <w:pPr>
        <w:spacing w:after="0"/>
        <w:jc w:val="both"/>
        <w:sectPr>
          <w:pgSz w:w="12240" w:h="15840"/>
          <w:pgMar w:header="725" w:footer="745" w:top="1560" w:bottom="940" w:left="1220" w:right="1220"/>
        </w:sectPr>
      </w:pPr>
    </w:p>
    <w:p>
      <w:pPr>
        <w:pStyle w:val="BodyText"/>
        <w:spacing w:before="155"/>
        <w:ind w:left="796" w:right="285" w:hanging="1"/>
      </w:pPr>
      <w:r>
        <w:rPr>
          <w:u w:val="single"/>
        </w:rPr>
        <w:t>19-005.02 Requirements</w:t>
      </w:r>
      <w:r>
        <w:rPr/>
        <w:t>: Systems that begin construction on or after (the effective date  of these regulations) must be</w:t>
      </w:r>
      <w:r>
        <w:rPr>
          <w:spacing w:val="-1"/>
        </w:rPr>
        <w:t> </w:t>
      </w:r>
      <w:r>
        <w:rPr/>
        <w:t>covered.</w:t>
      </w:r>
    </w:p>
    <w:p>
      <w:pPr>
        <w:pStyle w:val="BodyText"/>
      </w:pPr>
    </w:p>
    <w:p>
      <w:pPr>
        <w:pStyle w:val="ListParagraph"/>
        <w:numPr>
          <w:ilvl w:val="1"/>
          <w:numId w:val="1"/>
        </w:numPr>
        <w:tabs>
          <w:tab w:pos="1261" w:val="left" w:leader="none"/>
          <w:tab w:pos="1262" w:val="left" w:leader="none"/>
        </w:tabs>
        <w:spacing w:line="240" w:lineRule="auto" w:before="1" w:after="0"/>
        <w:ind w:left="220" w:right="219" w:hanging="1"/>
        <w:jc w:val="left"/>
        <w:rPr>
          <w:sz w:val="22"/>
        </w:rPr>
      </w:pPr>
      <w:r>
        <w:rPr>
          <w:sz w:val="22"/>
          <w:u w:val="single"/>
        </w:rPr>
        <w:t>ADDITIONAL WATERSHED CONTROL REQUIREMENTS FOR UNFILTERED SYSTEMS</w:t>
      </w:r>
    </w:p>
    <w:p>
      <w:pPr>
        <w:pStyle w:val="BodyText"/>
        <w:spacing w:before="10"/>
        <w:rPr>
          <w:sz w:val="13"/>
        </w:rPr>
      </w:pPr>
    </w:p>
    <w:p>
      <w:pPr>
        <w:pStyle w:val="BodyText"/>
        <w:spacing w:before="93"/>
        <w:ind w:left="796" w:right="217"/>
        <w:jc w:val="both"/>
      </w:pPr>
      <w:r>
        <w:rPr>
          <w:u w:val="single"/>
        </w:rPr>
        <w:t>19-006.01</w:t>
      </w:r>
      <w:r>
        <w:rPr/>
        <w:t> Systems using surface water or ground water under the direct influence of surface water that serve fewer than 10,000 persons and do not provide filtration must continue to comply with all the filtration avoidance criteria in 179 NAC 13-004, as well as the additional watershed control requirements in 179 NAC 19-006.02.</w:t>
      </w:r>
    </w:p>
    <w:p>
      <w:pPr>
        <w:pStyle w:val="BodyText"/>
        <w:spacing w:before="11"/>
        <w:rPr>
          <w:sz w:val="21"/>
        </w:rPr>
      </w:pPr>
    </w:p>
    <w:p>
      <w:pPr>
        <w:pStyle w:val="BodyText"/>
        <w:ind w:left="795" w:right="218"/>
        <w:jc w:val="both"/>
      </w:pPr>
      <w:r>
        <w:rPr>
          <w:u w:val="single"/>
        </w:rPr>
        <w:t>19-006.02</w:t>
      </w:r>
      <w:r>
        <w:rPr/>
        <w:t> Systems must take any additional steps necessary to minimize the potential  for contamination by </w:t>
      </w:r>
      <w:r>
        <w:rPr>
          <w:i/>
        </w:rPr>
        <w:t>Cryptosporidium </w:t>
      </w:r>
      <w:r>
        <w:rPr/>
        <w:t>oocysts in the source water. Watershed control programs must, for</w:t>
      </w:r>
      <w:r>
        <w:rPr>
          <w:spacing w:val="-1"/>
        </w:rPr>
        <w:t> </w:t>
      </w:r>
      <w:r>
        <w:rPr>
          <w:i/>
        </w:rPr>
        <w:t>Cryptosporidium</w:t>
      </w:r>
      <w:r>
        <w:rPr/>
        <w:t>:</w:t>
      </w:r>
    </w:p>
    <w:p>
      <w:pPr>
        <w:pStyle w:val="BodyText"/>
        <w:spacing w:before="11"/>
        <w:rPr>
          <w:sz w:val="21"/>
        </w:rPr>
      </w:pPr>
    </w:p>
    <w:p>
      <w:pPr>
        <w:pStyle w:val="ListParagraph"/>
        <w:numPr>
          <w:ilvl w:val="2"/>
          <w:numId w:val="1"/>
        </w:numPr>
        <w:tabs>
          <w:tab w:pos="1947" w:val="left" w:leader="none"/>
          <w:tab w:pos="1948" w:val="left" w:leader="none"/>
        </w:tabs>
        <w:spacing w:line="240" w:lineRule="auto" w:before="0" w:after="0"/>
        <w:ind w:left="1948" w:right="219" w:hanging="577"/>
        <w:jc w:val="left"/>
        <w:rPr>
          <w:sz w:val="22"/>
        </w:rPr>
      </w:pPr>
      <w:r>
        <w:rPr>
          <w:sz w:val="22"/>
        </w:rPr>
        <w:t>Identify watershed characteristics and activities which may have an adverse effect on source water quality;</w:t>
      </w:r>
      <w:r>
        <w:rPr>
          <w:spacing w:val="-1"/>
          <w:sz w:val="22"/>
        </w:rPr>
        <w:t> </w:t>
      </w:r>
      <w:r>
        <w:rPr>
          <w:sz w:val="22"/>
        </w:rPr>
        <w:t>and</w:t>
      </w:r>
    </w:p>
    <w:p>
      <w:pPr>
        <w:pStyle w:val="BodyText"/>
        <w:spacing w:before="1"/>
      </w:pPr>
    </w:p>
    <w:p>
      <w:pPr>
        <w:pStyle w:val="ListParagraph"/>
        <w:numPr>
          <w:ilvl w:val="2"/>
          <w:numId w:val="1"/>
        </w:numPr>
        <w:tabs>
          <w:tab w:pos="1947" w:val="left" w:leader="none"/>
          <w:tab w:pos="1948" w:val="left" w:leader="none"/>
        </w:tabs>
        <w:spacing w:line="240" w:lineRule="auto" w:before="0" w:after="0"/>
        <w:ind w:left="1948" w:right="219" w:hanging="577"/>
        <w:jc w:val="left"/>
        <w:rPr>
          <w:sz w:val="22"/>
        </w:rPr>
      </w:pPr>
      <w:r>
        <w:rPr>
          <w:sz w:val="22"/>
        </w:rPr>
        <w:t>Monitor the occurrence of activities which may have an adverse effect on source water</w:t>
      </w:r>
      <w:r>
        <w:rPr>
          <w:spacing w:val="-1"/>
          <w:sz w:val="22"/>
        </w:rPr>
        <w:t> </w:t>
      </w:r>
      <w:r>
        <w:rPr>
          <w:sz w:val="22"/>
        </w:rPr>
        <w:t>quality.</w:t>
      </w:r>
    </w:p>
    <w:p>
      <w:pPr>
        <w:pStyle w:val="BodyText"/>
        <w:spacing w:before="11"/>
        <w:rPr>
          <w:sz w:val="21"/>
        </w:rPr>
      </w:pPr>
    </w:p>
    <w:p>
      <w:pPr>
        <w:pStyle w:val="BodyText"/>
        <w:ind w:left="796" w:right="217"/>
        <w:jc w:val="both"/>
      </w:pPr>
      <w:r>
        <w:rPr>
          <w:u w:val="single"/>
        </w:rPr>
        <w:t>19-006.03</w:t>
      </w:r>
      <w:r>
        <w:rPr/>
        <w:t> During an onsite inspection conducted under the provisions of 179 NAC 13- 004.03, the Director must determine whether your watershed control program is adequate to limit potential contamination by </w:t>
      </w:r>
      <w:r>
        <w:rPr>
          <w:i/>
        </w:rPr>
        <w:t>Cryptosporidium </w:t>
      </w:r>
      <w:r>
        <w:rPr/>
        <w:t>oocysts. The adequacy of the  program must be based on the comprehensiveness of the watershed review; the effectiveness of the system’s program to monitor and control detrimental activities occurring in the watershed; and the extent to which the system has maximized land ownership and/or controlled land use within the</w:t>
      </w:r>
      <w:r>
        <w:rPr>
          <w:spacing w:val="-2"/>
        </w:rPr>
        <w:t> </w:t>
      </w:r>
      <w:r>
        <w:rPr/>
        <w:t>watershed.</w:t>
      </w:r>
    </w:p>
    <w:p>
      <w:pPr>
        <w:pStyle w:val="BodyText"/>
      </w:pPr>
    </w:p>
    <w:p>
      <w:pPr>
        <w:pStyle w:val="ListParagraph"/>
        <w:numPr>
          <w:ilvl w:val="1"/>
          <w:numId w:val="1"/>
        </w:numPr>
        <w:tabs>
          <w:tab w:pos="1027" w:val="left" w:leader="none"/>
        </w:tabs>
        <w:spacing w:line="240" w:lineRule="auto" w:before="0" w:after="0"/>
        <w:ind w:left="1026" w:right="0" w:hanging="807"/>
        <w:jc w:val="left"/>
        <w:rPr>
          <w:sz w:val="22"/>
        </w:rPr>
      </w:pPr>
      <w:r>
        <w:rPr>
          <w:sz w:val="22"/>
          <w:u w:val="single"/>
        </w:rPr>
        <w:t>DISINFECTION</w:t>
      </w:r>
      <w:r>
        <w:rPr>
          <w:spacing w:val="-1"/>
          <w:sz w:val="22"/>
          <w:u w:val="single"/>
        </w:rPr>
        <w:t> </w:t>
      </w:r>
      <w:r>
        <w:rPr>
          <w:sz w:val="22"/>
          <w:u w:val="single"/>
        </w:rPr>
        <w:t>PROFILE</w:t>
      </w:r>
    </w:p>
    <w:p>
      <w:pPr>
        <w:pStyle w:val="BodyText"/>
        <w:spacing w:before="10"/>
        <w:rPr>
          <w:sz w:val="13"/>
        </w:rPr>
      </w:pPr>
    </w:p>
    <w:p>
      <w:pPr>
        <w:pStyle w:val="BodyText"/>
        <w:spacing w:before="93"/>
        <w:ind w:left="796" w:right="217"/>
        <w:jc w:val="both"/>
      </w:pPr>
      <w:r>
        <w:rPr>
          <w:u w:val="single"/>
        </w:rPr>
        <w:t>19-007.01 What It Is, Who Must Develop One</w:t>
      </w:r>
      <w:r>
        <w:rPr/>
        <w:t>: A disinfection profile is a graphical representation of a system’s level of </w:t>
      </w:r>
      <w:r>
        <w:rPr>
          <w:i/>
        </w:rPr>
        <w:t>Giardia lamblia </w:t>
      </w:r>
      <w:r>
        <w:rPr/>
        <w:t>or virus inactivation measured during the course of a year. Community and non-transient non-community water systems that use surface water or ground water under the direct influence of surface water and serve fewer than 10,000 persons must develop a disinfection profile unless the Director determines the system’s profile is unnecessary. The Director may approve the use of a more representative data set for disinfection profiling than the data set required under 179 NAC 19-007.03 to</w:t>
      </w:r>
      <w:r>
        <w:rPr>
          <w:spacing w:val="-1"/>
        </w:rPr>
        <w:t> </w:t>
      </w:r>
      <w:r>
        <w:rPr/>
        <w:t>19-007.07.</w:t>
      </w:r>
    </w:p>
    <w:p>
      <w:pPr>
        <w:pStyle w:val="BodyText"/>
        <w:spacing w:before="1"/>
      </w:pPr>
    </w:p>
    <w:p>
      <w:pPr>
        <w:pStyle w:val="BodyText"/>
        <w:ind w:left="795" w:right="218"/>
        <w:jc w:val="both"/>
      </w:pPr>
      <w:r>
        <w:rPr>
          <w:u w:val="single"/>
        </w:rPr>
        <w:t>19-007.02 Criteria used by the Director to determine that a profile is unnecessary</w:t>
      </w:r>
      <w:r>
        <w:rPr/>
        <w:t>: The Director may only determine that a system’s profile is unnecessary if a system’s TTHM and HAA5 levels are below 0.064 mg/L and 0.048 mg/L, respectively. To determine these levels, TTHM and HAA5 samples must be collected after January 1, 1998, during the month with the warmest water temperature, and at the point of maximum residence time in the distribution system. The Department may approve a more representative TTHM  and HAA5 data set to determine these</w:t>
      </w:r>
      <w:r>
        <w:rPr>
          <w:spacing w:val="-1"/>
        </w:rPr>
        <w:t> </w:t>
      </w:r>
      <w:r>
        <w:rPr/>
        <w:t>levels.</w:t>
      </w:r>
    </w:p>
    <w:p>
      <w:pPr>
        <w:pStyle w:val="BodyText"/>
        <w:spacing w:before="11"/>
        <w:rPr>
          <w:sz w:val="21"/>
        </w:rPr>
      </w:pPr>
    </w:p>
    <w:p>
      <w:pPr>
        <w:pStyle w:val="BodyText"/>
        <w:ind w:left="796" w:right="221"/>
        <w:jc w:val="both"/>
      </w:pPr>
      <w:r>
        <w:rPr>
          <w:u w:val="single"/>
        </w:rPr>
        <w:t>19-007.03 Development of a disinfection profile, when to begin</w:t>
      </w:r>
      <w:r>
        <w:rPr/>
        <w:t>: A disinfection profile consists of three steps:</w:t>
      </w:r>
    </w:p>
    <w:p>
      <w:pPr>
        <w:spacing w:after="0"/>
        <w:jc w:val="both"/>
        <w:sectPr>
          <w:pgSz w:w="12240" w:h="15840"/>
          <w:pgMar w:header="725" w:footer="745" w:top="1560" w:bottom="940" w:left="1220" w:right="1220"/>
        </w:sectPr>
      </w:pPr>
    </w:p>
    <w:p>
      <w:pPr>
        <w:pStyle w:val="BodyText"/>
        <w:spacing w:before="5"/>
        <w:rPr>
          <w:sz w:val="27"/>
        </w:rPr>
      </w:pPr>
    </w:p>
    <w:p>
      <w:pPr>
        <w:pStyle w:val="ListParagraph"/>
        <w:numPr>
          <w:ilvl w:val="2"/>
          <w:numId w:val="1"/>
        </w:numPr>
        <w:tabs>
          <w:tab w:pos="1948" w:val="left" w:leader="none"/>
        </w:tabs>
        <w:spacing w:line="240" w:lineRule="auto" w:before="93" w:after="0"/>
        <w:ind w:left="1947" w:right="217" w:hanging="577"/>
        <w:jc w:val="both"/>
        <w:rPr>
          <w:sz w:val="22"/>
        </w:rPr>
      </w:pPr>
      <w:r>
        <w:rPr>
          <w:sz w:val="22"/>
        </w:rPr>
        <w:t>First, collect data for several parameters from the plant as discussed in 179 NAC 19-007.04 over the course of 12 months. Systems serving between 500 and 9,999 persons must begin collecting the data no later than July 1, 2003. Systems serving fewer than 500 persons must begin to collect data no later than January 1,</w:t>
      </w:r>
      <w:r>
        <w:rPr>
          <w:spacing w:val="-1"/>
          <w:sz w:val="22"/>
        </w:rPr>
        <w:t> </w:t>
      </w:r>
      <w:r>
        <w:rPr>
          <w:sz w:val="22"/>
        </w:rPr>
        <w:t>2004.</w:t>
      </w:r>
    </w:p>
    <w:p>
      <w:pPr>
        <w:pStyle w:val="BodyText"/>
      </w:pPr>
    </w:p>
    <w:p>
      <w:pPr>
        <w:pStyle w:val="ListParagraph"/>
        <w:numPr>
          <w:ilvl w:val="2"/>
          <w:numId w:val="1"/>
        </w:numPr>
        <w:tabs>
          <w:tab w:pos="1948" w:val="left" w:leader="none"/>
        </w:tabs>
        <w:spacing w:line="240" w:lineRule="auto" w:before="0" w:after="0"/>
        <w:ind w:left="1947" w:right="219" w:hanging="577"/>
        <w:jc w:val="both"/>
        <w:rPr>
          <w:sz w:val="22"/>
        </w:rPr>
      </w:pPr>
      <w:r>
        <w:rPr>
          <w:sz w:val="22"/>
        </w:rPr>
        <w:t>Second, use this data to calculate weekly log inactivation as discussed in 179 NAC 19-007.05 and 19-007.06;</w:t>
      </w:r>
      <w:r>
        <w:rPr>
          <w:spacing w:val="-1"/>
          <w:sz w:val="22"/>
        </w:rPr>
        <w:t> </w:t>
      </w:r>
      <w:r>
        <w:rPr>
          <w:sz w:val="22"/>
        </w:rPr>
        <w:t>and</w:t>
      </w:r>
    </w:p>
    <w:p>
      <w:pPr>
        <w:pStyle w:val="BodyText"/>
        <w:spacing w:before="11"/>
        <w:rPr>
          <w:sz w:val="21"/>
        </w:rPr>
      </w:pPr>
    </w:p>
    <w:p>
      <w:pPr>
        <w:pStyle w:val="ListParagraph"/>
        <w:numPr>
          <w:ilvl w:val="2"/>
          <w:numId w:val="1"/>
        </w:numPr>
        <w:tabs>
          <w:tab w:pos="1948" w:val="left" w:leader="none"/>
        </w:tabs>
        <w:spacing w:line="240" w:lineRule="auto" w:before="0" w:after="0"/>
        <w:ind w:left="1947" w:right="219" w:hanging="577"/>
        <w:jc w:val="both"/>
        <w:rPr>
          <w:sz w:val="22"/>
        </w:rPr>
      </w:pPr>
      <w:r>
        <w:rPr>
          <w:sz w:val="22"/>
        </w:rPr>
        <w:t>Third, use these weekly log inactivations to develop a disinfection profile as specified in 179 NAC</w:t>
      </w:r>
      <w:r>
        <w:rPr>
          <w:spacing w:val="-2"/>
          <w:sz w:val="22"/>
        </w:rPr>
        <w:t> </w:t>
      </w:r>
      <w:r>
        <w:rPr>
          <w:sz w:val="22"/>
        </w:rPr>
        <w:t>19-007.07.</w:t>
      </w:r>
    </w:p>
    <w:p>
      <w:pPr>
        <w:pStyle w:val="BodyText"/>
      </w:pPr>
    </w:p>
    <w:p>
      <w:pPr>
        <w:pStyle w:val="BodyText"/>
        <w:ind w:left="796" w:right="218" w:hanging="1"/>
        <w:jc w:val="both"/>
      </w:pPr>
      <w:r>
        <w:rPr>
          <w:u w:val="single"/>
        </w:rPr>
        <w:t>19-007.04 Data Required to Calculate a Disinfection Profile</w:t>
      </w:r>
      <w:r>
        <w:rPr/>
        <w:t>: Systems must monitor the following parameters to determine the total log inactivation using the analytical methods in 179 NAC 13-007.01, once per week on the same calendar day, over 12 consecutive months.</w:t>
      </w:r>
    </w:p>
    <w:p>
      <w:pPr>
        <w:pStyle w:val="BodyText"/>
      </w:pPr>
    </w:p>
    <w:p>
      <w:pPr>
        <w:pStyle w:val="ListParagraph"/>
        <w:numPr>
          <w:ilvl w:val="0"/>
          <w:numId w:val="2"/>
        </w:numPr>
        <w:tabs>
          <w:tab w:pos="1947" w:val="left" w:leader="none"/>
          <w:tab w:pos="1948" w:val="left" w:leader="none"/>
        </w:tabs>
        <w:spacing w:line="240" w:lineRule="auto" w:before="0" w:after="0"/>
        <w:ind w:left="1948" w:right="218" w:hanging="577"/>
        <w:jc w:val="left"/>
        <w:rPr>
          <w:sz w:val="22"/>
        </w:rPr>
      </w:pPr>
      <w:r>
        <w:rPr>
          <w:sz w:val="22"/>
        </w:rPr>
        <w:t>The temperature of the disinfected water at each residual disinfectant concentration sampling point during peak hourly</w:t>
      </w:r>
      <w:r>
        <w:rPr>
          <w:spacing w:val="-3"/>
          <w:sz w:val="22"/>
        </w:rPr>
        <w:t> </w:t>
      </w:r>
      <w:r>
        <w:rPr>
          <w:sz w:val="22"/>
        </w:rPr>
        <w:t>flow;</w:t>
      </w:r>
    </w:p>
    <w:p>
      <w:pPr>
        <w:pStyle w:val="ListParagraph"/>
        <w:numPr>
          <w:ilvl w:val="0"/>
          <w:numId w:val="2"/>
        </w:numPr>
        <w:tabs>
          <w:tab w:pos="1947" w:val="left" w:leader="none"/>
          <w:tab w:pos="1948" w:val="left" w:leader="none"/>
        </w:tabs>
        <w:spacing w:line="240" w:lineRule="auto" w:before="0" w:after="0"/>
        <w:ind w:left="1948" w:right="218" w:hanging="577"/>
        <w:jc w:val="left"/>
        <w:rPr>
          <w:sz w:val="22"/>
        </w:rPr>
      </w:pPr>
      <w:r>
        <w:rPr>
          <w:sz w:val="22"/>
        </w:rPr>
        <w:t>For systems that use chlorine, the pH of the disinfected water at each residual disinfectant concentration sampling point during peak hourly</w:t>
      </w:r>
      <w:r>
        <w:rPr>
          <w:spacing w:val="-6"/>
          <w:sz w:val="22"/>
        </w:rPr>
        <w:t> </w:t>
      </w:r>
      <w:r>
        <w:rPr>
          <w:sz w:val="22"/>
        </w:rPr>
        <w:t>flow;</w:t>
      </w:r>
    </w:p>
    <w:p>
      <w:pPr>
        <w:pStyle w:val="ListParagraph"/>
        <w:numPr>
          <w:ilvl w:val="0"/>
          <w:numId w:val="2"/>
        </w:numPr>
        <w:tabs>
          <w:tab w:pos="1947" w:val="left" w:leader="none"/>
          <w:tab w:pos="1948" w:val="left" w:leader="none"/>
        </w:tabs>
        <w:spacing w:line="240" w:lineRule="auto" w:before="0" w:after="0"/>
        <w:ind w:left="1947" w:right="0" w:hanging="576"/>
        <w:jc w:val="left"/>
        <w:rPr>
          <w:sz w:val="22"/>
        </w:rPr>
      </w:pPr>
      <w:r>
        <w:rPr>
          <w:sz w:val="22"/>
        </w:rPr>
        <w:t>The disinfectant contact time(s) [“T”] during peak hourly flow;</w:t>
      </w:r>
      <w:r>
        <w:rPr>
          <w:spacing w:val="-4"/>
          <w:sz w:val="22"/>
        </w:rPr>
        <w:t> </w:t>
      </w:r>
      <w:r>
        <w:rPr>
          <w:sz w:val="22"/>
        </w:rPr>
        <w:t>and</w:t>
      </w:r>
    </w:p>
    <w:p>
      <w:pPr>
        <w:pStyle w:val="ListParagraph"/>
        <w:numPr>
          <w:ilvl w:val="0"/>
          <w:numId w:val="2"/>
        </w:numPr>
        <w:tabs>
          <w:tab w:pos="1948" w:val="left" w:leader="none"/>
        </w:tabs>
        <w:spacing w:line="240" w:lineRule="auto" w:before="0" w:after="0"/>
        <w:ind w:left="1948" w:right="219" w:hanging="577"/>
        <w:jc w:val="both"/>
        <w:rPr>
          <w:sz w:val="22"/>
        </w:rPr>
      </w:pPr>
      <w:r>
        <w:rPr>
          <w:sz w:val="22"/>
        </w:rPr>
        <w:t>The residual disinfectant concentration(s) [“C”] of the water before or at the first customer and prior to each additional point of disinfection during peak hourly</w:t>
      </w:r>
      <w:r>
        <w:rPr>
          <w:spacing w:val="-1"/>
          <w:sz w:val="22"/>
        </w:rPr>
        <w:t> </w:t>
      </w:r>
      <w:r>
        <w:rPr>
          <w:sz w:val="22"/>
        </w:rPr>
        <w:t>flow.</w:t>
      </w:r>
    </w:p>
    <w:p>
      <w:pPr>
        <w:pStyle w:val="BodyText"/>
      </w:pPr>
    </w:p>
    <w:p>
      <w:pPr>
        <w:pStyle w:val="BodyText"/>
        <w:ind w:left="795" w:right="216"/>
        <w:jc w:val="both"/>
      </w:pPr>
      <w:r>
        <w:rPr>
          <w:u w:val="single"/>
        </w:rPr>
        <w:t>19-007.05 How To Use the Previous Information to Calculate an Inactivation Ratio</w:t>
      </w:r>
      <w:r>
        <w:rPr/>
        <w:t>: Use the tables in 179 NAC 13-007.02C5 to determine the appropriate CT</w:t>
      </w:r>
      <w:r>
        <w:rPr>
          <w:vertAlign w:val="subscript"/>
        </w:rPr>
        <w:t>99.9</w:t>
      </w:r>
      <w:r>
        <w:rPr>
          <w:vertAlign w:val="baseline"/>
        </w:rPr>
        <w:t> value. Calculate the total inactivation ratio as follows, and multiply the value by 3.0 to determine log inactivation of </w:t>
      </w:r>
      <w:r>
        <w:rPr>
          <w:i/>
          <w:vertAlign w:val="baseline"/>
        </w:rPr>
        <w:t>Giardia lamblia</w:t>
      </w:r>
      <w:r>
        <w:rPr>
          <w:vertAlign w:val="baseline"/>
        </w:rPr>
        <w:t>:</w:t>
      </w:r>
    </w:p>
    <w:p>
      <w:pPr>
        <w:pStyle w:val="BodyText"/>
        <w:spacing w:before="2"/>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8"/>
        <w:gridCol w:w="6768"/>
      </w:tblGrid>
      <w:tr>
        <w:trPr>
          <w:trHeight w:val="253" w:hRule="atLeast"/>
        </w:trPr>
        <w:tc>
          <w:tcPr>
            <w:tcW w:w="2808" w:type="dxa"/>
          </w:tcPr>
          <w:p>
            <w:pPr>
              <w:pStyle w:val="TableParagraph"/>
              <w:spacing w:line="234" w:lineRule="exact"/>
              <w:rPr>
                <w:b/>
                <w:sz w:val="22"/>
              </w:rPr>
            </w:pPr>
            <w:r>
              <w:rPr>
                <w:b/>
                <w:sz w:val="22"/>
              </w:rPr>
              <w:t>If Your System</w:t>
            </w:r>
          </w:p>
        </w:tc>
        <w:tc>
          <w:tcPr>
            <w:tcW w:w="6768" w:type="dxa"/>
          </w:tcPr>
          <w:p>
            <w:pPr>
              <w:pStyle w:val="TableParagraph"/>
              <w:spacing w:line="234" w:lineRule="exact"/>
              <w:rPr>
                <w:b/>
                <w:sz w:val="22"/>
              </w:rPr>
            </w:pPr>
            <w:r>
              <w:rPr>
                <w:b/>
                <w:sz w:val="22"/>
              </w:rPr>
              <w:t>Your System Must Determine</w:t>
            </w:r>
          </w:p>
        </w:tc>
      </w:tr>
      <w:tr>
        <w:trPr>
          <w:trHeight w:val="2276" w:hRule="atLeast"/>
        </w:trPr>
        <w:tc>
          <w:tcPr>
            <w:tcW w:w="2808" w:type="dxa"/>
          </w:tcPr>
          <w:p>
            <w:pPr>
              <w:pStyle w:val="TableParagraph"/>
              <w:rPr>
                <w:sz w:val="22"/>
              </w:rPr>
            </w:pPr>
            <w:r>
              <w:rPr>
                <w:sz w:val="22"/>
              </w:rPr>
              <w:t>a. Uses only one point of disinfectant application</w:t>
            </w:r>
          </w:p>
        </w:tc>
        <w:tc>
          <w:tcPr>
            <w:tcW w:w="6768" w:type="dxa"/>
          </w:tcPr>
          <w:p>
            <w:pPr>
              <w:pStyle w:val="TableParagraph"/>
              <w:numPr>
                <w:ilvl w:val="0"/>
                <w:numId w:val="3"/>
              </w:numPr>
              <w:tabs>
                <w:tab w:pos="551" w:val="left" w:leader="none"/>
              </w:tabs>
              <w:spacing w:line="240" w:lineRule="auto" w:before="0" w:after="0"/>
              <w:ind w:left="107" w:right="96" w:firstLine="0"/>
              <w:jc w:val="both"/>
              <w:rPr>
                <w:sz w:val="22"/>
              </w:rPr>
            </w:pPr>
            <w:r>
              <w:rPr>
                <w:sz w:val="22"/>
              </w:rPr>
              <w:t>One inactivation ratio (CTcalc/CT</w:t>
            </w:r>
            <w:r>
              <w:rPr>
                <w:sz w:val="22"/>
                <w:vertAlign w:val="subscript"/>
              </w:rPr>
              <w:t>99.9</w:t>
            </w:r>
            <w:r>
              <w:rPr>
                <w:sz w:val="22"/>
                <w:vertAlign w:val="baseline"/>
              </w:rPr>
              <w:t>) before or at the </w:t>
            </w:r>
            <w:r>
              <w:rPr>
                <w:spacing w:val="-4"/>
                <w:sz w:val="22"/>
                <w:vertAlign w:val="baseline"/>
              </w:rPr>
              <w:t>first </w:t>
            </w:r>
            <w:r>
              <w:rPr>
                <w:sz w:val="22"/>
                <w:vertAlign w:val="baseline"/>
              </w:rPr>
              <w:t>customer during peak hourly flow</w:t>
            </w:r>
            <w:r>
              <w:rPr>
                <w:spacing w:val="-1"/>
                <w:sz w:val="22"/>
                <w:vertAlign w:val="baseline"/>
              </w:rPr>
              <w:t> </w:t>
            </w:r>
            <w:r>
              <w:rPr>
                <w:sz w:val="22"/>
                <w:vertAlign w:val="baseline"/>
              </w:rPr>
              <w:t>or</w:t>
            </w:r>
          </w:p>
          <w:p>
            <w:pPr>
              <w:pStyle w:val="TableParagraph"/>
              <w:numPr>
                <w:ilvl w:val="0"/>
                <w:numId w:val="3"/>
              </w:numPr>
              <w:tabs>
                <w:tab w:pos="639" w:val="left" w:leader="none"/>
              </w:tabs>
              <w:spacing w:line="240" w:lineRule="auto" w:before="0" w:after="0"/>
              <w:ind w:left="107" w:right="95" w:firstLine="0"/>
              <w:jc w:val="both"/>
              <w:rPr>
                <w:sz w:val="22"/>
              </w:rPr>
            </w:pPr>
            <w:r>
              <w:rPr>
                <w:sz w:val="22"/>
              </w:rPr>
              <w:t>Successive CTcalc/CT</w:t>
            </w:r>
            <w:r>
              <w:rPr>
                <w:sz w:val="22"/>
                <w:vertAlign w:val="subscript"/>
              </w:rPr>
              <w:t>99.9</w:t>
            </w:r>
            <w:r>
              <w:rPr>
                <w:sz w:val="22"/>
                <w:vertAlign w:val="baseline"/>
              </w:rPr>
              <w:t> values, representing sequential inactivation ratios, between the point of disinfectant application and a point before or at the first customer during peak hourly flow. Under this alternative, your system must calculate the total inactivation ratio by determining (CTcalc/CT</w:t>
            </w:r>
            <w:r>
              <w:rPr>
                <w:sz w:val="22"/>
                <w:vertAlign w:val="subscript"/>
              </w:rPr>
              <w:t>99.9</w:t>
            </w:r>
            <w:r>
              <w:rPr>
                <w:sz w:val="22"/>
                <w:vertAlign w:val="baseline"/>
              </w:rPr>
              <w:t>) for each </w:t>
            </w:r>
            <w:r>
              <w:rPr>
                <w:spacing w:val="-3"/>
                <w:sz w:val="22"/>
                <w:vertAlign w:val="baseline"/>
              </w:rPr>
              <w:t>sequence </w:t>
            </w:r>
            <w:r>
              <w:rPr>
                <w:sz w:val="22"/>
                <w:vertAlign w:val="baseline"/>
              </w:rPr>
              <w:t>and</w:t>
            </w:r>
            <w:r>
              <w:rPr>
                <w:spacing w:val="26"/>
                <w:sz w:val="22"/>
                <w:vertAlign w:val="baseline"/>
              </w:rPr>
              <w:t> </w:t>
            </w:r>
            <w:r>
              <w:rPr>
                <w:sz w:val="22"/>
                <w:vertAlign w:val="baseline"/>
              </w:rPr>
              <w:t>then</w:t>
            </w:r>
            <w:r>
              <w:rPr>
                <w:spacing w:val="26"/>
                <w:sz w:val="22"/>
                <w:vertAlign w:val="baseline"/>
              </w:rPr>
              <w:t> </w:t>
            </w:r>
            <w:r>
              <w:rPr>
                <w:sz w:val="22"/>
                <w:vertAlign w:val="baseline"/>
              </w:rPr>
              <w:t>adding</w:t>
            </w:r>
            <w:r>
              <w:rPr>
                <w:spacing w:val="28"/>
                <w:sz w:val="22"/>
                <w:vertAlign w:val="baseline"/>
              </w:rPr>
              <w:t> </w:t>
            </w:r>
            <w:r>
              <w:rPr>
                <w:sz w:val="22"/>
                <w:vertAlign w:val="baseline"/>
              </w:rPr>
              <w:t>the</w:t>
            </w:r>
            <w:r>
              <w:rPr>
                <w:spacing w:val="27"/>
                <w:sz w:val="22"/>
                <w:vertAlign w:val="baseline"/>
              </w:rPr>
              <w:t> </w:t>
            </w:r>
            <w:r>
              <w:rPr>
                <w:sz w:val="22"/>
                <w:vertAlign w:val="baseline"/>
              </w:rPr>
              <w:t>(CTcalc/CT</w:t>
            </w:r>
            <w:r>
              <w:rPr>
                <w:sz w:val="22"/>
                <w:vertAlign w:val="subscript"/>
              </w:rPr>
              <w:t>99.9</w:t>
            </w:r>
            <w:r>
              <w:rPr>
                <w:sz w:val="22"/>
                <w:vertAlign w:val="baseline"/>
              </w:rPr>
              <w:t>)</w:t>
            </w:r>
            <w:r>
              <w:rPr>
                <w:spacing w:val="27"/>
                <w:sz w:val="22"/>
                <w:vertAlign w:val="baseline"/>
              </w:rPr>
              <w:t> </w:t>
            </w:r>
            <w:r>
              <w:rPr>
                <w:sz w:val="22"/>
                <w:vertAlign w:val="baseline"/>
              </w:rPr>
              <w:t>values</w:t>
            </w:r>
            <w:r>
              <w:rPr>
                <w:spacing w:val="28"/>
                <w:sz w:val="22"/>
                <w:vertAlign w:val="baseline"/>
              </w:rPr>
              <w:t> </w:t>
            </w:r>
            <w:r>
              <w:rPr>
                <w:sz w:val="22"/>
                <w:vertAlign w:val="baseline"/>
              </w:rPr>
              <w:t>together</w:t>
            </w:r>
            <w:r>
              <w:rPr>
                <w:spacing w:val="27"/>
                <w:sz w:val="22"/>
                <w:vertAlign w:val="baseline"/>
              </w:rPr>
              <w:t> </w:t>
            </w:r>
            <w:r>
              <w:rPr>
                <w:sz w:val="22"/>
                <w:vertAlign w:val="baseline"/>
              </w:rPr>
              <w:t>to</w:t>
            </w:r>
            <w:r>
              <w:rPr>
                <w:spacing w:val="28"/>
                <w:sz w:val="22"/>
                <w:vertAlign w:val="baseline"/>
              </w:rPr>
              <w:t> </w:t>
            </w:r>
            <w:r>
              <w:rPr>
                <w:sz w:val="22"/>
                <w:vertAlign w:val="baseline"/>
              </w:rPr>
              <w:t>determine</w:t>
            </w:r>
          </w:p>
          <w:p>
            <w:pPr>
              <w:pStyle w:val="TableParagraph"/>
              <w:spacing w:line="234" w:lineRule="exact"/>
              <w:rPr>
                <w:sz w:val="22"/>
              </w:rPr>
            </w:pPr>
            <w:r>
              <w:rPr>
                <w:sz w:val="22"/>
              </w:rPr>
              <w:t>(ΣCTcalc/CT</w:t>
            </w:r>
            <w:r>
              <w:rPr>
                <w:sz w:val="22"/>
                <w:vertAlign w:val="subscript"/>
              </w:rPr>
              <w:t>99.9</w:t>
            </w:r>
            <w:r>
              <w:rPr>
                <w:sz w:val="22"/>
                <w:vertAlign w:val="baseline"/>
              </w:rPr>
              <w:t>).</w:t>
            </w:r>
          </w:p>
        </w:tc>
      </w:tr>
      <w:tr>
        <w:trPr>
          <w:trHeight w:val="1012" w:hRule="atLeast"/>
        </w:trPr>
        <w:tc>
          <w:tcPr>
            <w:tcW w:w="2808" w:type="dxa"/>
          </w:tcPr>
          <w:p>
            <w:pPr>
              <w:pStyle w:val="TableParagraph"/>
              <w:tabs>
                <w:tab w:pos="534" w:val="left" w:leader="none"/>
                <w:tab w:pos="992" w:val="left" w:leader="none"/>
                <w:tab w:pos="1585" w:val="left" w:leader="none"/>
              </w:tabs>
              <w:ind w:right="96"/>
              <w:rPr>
                <w:sz w:val="22"/>
              </w:rPr>
            </w:pPr>
            <w:r>
              <w:rPr>
                <w:sz w:val="22"/>
              </w:rPr>
              <w:t>b.</w:t>
              <w:tab/>
              <w:t>Uses more than </w:t>
            </w:r>
            <w:r>
              <w:rPr>
                <w:spacing w:val="-5"/>
                <w:sz w:val="22"/>
              </w:rPr>
              <w:t>one </w:t>
            </w:r>
            <w:r>
              <w:rPr>
                <w:sz w:val="22"/>
              </w:rPr>
              <w:t>point</w:t>
              <w:tab/>
              <w:t>of</w:t>
              <w:tab/>
            </w:r>
            <w:r>
              <w:rPr>
                <w:spacing w:val="-2"/>
                <w:sz w:val="22"/>
              </w:rPr>
              <w:t>disinfectant</w:t>
            </w:r>
          </w:p>
          <w:p>
            <w:pPr>
              <w:pStyle w:val="TableParagraph"/>
              <w:spacing w:line="252" w:lineRule="exact" w:before="4"/>
              <w:rPr>
                <w:sz w:val="22"/>
              </w:rPr>
            </w:pPr>
            <w:r>
              <w:rPr>
                <w:sz w:val="22"/>
              </w:rPr>
              <w:t>application before the first customer</w:t>
            </w:r>
          </w:p>
        </w:tc>
        <w:tc>
          <w:tcPr>
            <w:tcW w:w="6768" w:type="dxa"/>
          </w:tcPr>
          <w:p>
            <w:pPr>
              <w:pStyle w:val="TableParagraph"/>
              <w:tabs>
                <w:tab w:pos="750" w:val="left" w:leader="none"/>
                <w:tab w:pos="2474" w:val="left" w:leader="none"/>
                <w:tab w:pos="3264" w:val="left" w:leader="none"/>
                <w:tab w:pos="3711" w:val="left" w:leader="none"/>
                <w:tab w:pos="4451" w:val="left" w:leader="none"/>
                <w:tab w:pos="5815" w:val="left" w:leader="none"/>
              </w:tabs>
              <w:ind w:right="96"/>
              <w:rPr>
                <w:sz w:val="22"/>
              </w:rPr>
            </w:pPr>
            <w:r>
              <w:rPr>
                <w:sz w:val="22"/>
              </w:rPr>
              <w:t>The</w:t>
              <w:tab/>
              <w:t>(CTcalc/CT</w:t>
            </w:r>
            <w:r>
              <w:rPr>
                <w:sz w:val="22"/>
                <w:vertAlign w:val="subscript"/>
              </w:rPr>
              <w:t>99.9</w:t>
            </w:r>
            <w:r>
              <w:rPr>
                <w:sz w:val="22"/>
                <w:vertAlign w:val="baseline"/>
              </w:rPr>
              <w:t>)</w:t>
              <w:tab/>
              <w:t>value</w:t>
              <w:tab/>
              <w:t>of</w:t>
              <w:tab/>
              <w:t>each</w:t>
              <w:tab/>
              <w:t>disinfection</w:t>
              <w:tab/>
            </w:r>
            <w:r>
              <w:rPr>
                <w:spacing w:val="-3"/>
                <w:sz w:val="22"/>
                <w:vertAlign w:val="baseline"/>
              </w:rPr>
              <w:t>segment </w:t>
            </w:r>
            <w:r>
              <w:rPr>
                <w:sz w:val="22"/>
                <w:vertAlign w:val="baseline"/>
              </w:rPr>
              <w:t>immediately prior to the next point of disinfectant application, or</w:t>
            </w:r>
            <w:r>
              <w:rPr>
                <w:spacing w:val="4"/>
                <w:sz w:val="22"/>
                <w:vertAlign w:val="baseline"/>
              </w:rPr>
              <w:t> </w:t>
            </w:r>
            <w:r>
              <w:rPr>
                <w:sz w:val="22"/>
                <w:vertAlign w:val="baseline"/>
              </w:rPr>
              <w:t>for</w:t>
            </w:r>
          </w:p>
          <w:p>
            <w:pPr>
              <w:pStyle w:val="TableParagraph"/>
              <w:spacing w:line="252" w:lineRule="exact" w:before="4"/>
              <w:ind w:right="108"/>
              <w:rPr>
                <w:sz w:val="22"/>
              </w:rPr>
            </w:pPr>
            <w:r>
              <w:rPr>
                <w:sz w:val="22"/>
              </w:rPr>
              <w:t>the final segment, before or at the first customer, during peak hourly flow using the procedure specified in a.2. above.</w:t>
            </w:r>
          </w:p>
        </w:tc>
      </w:tr>
    </w:tbl>
    <w:p>
      <w:pPr>
        <w:pStyle w:val="BodyText"/>
        <w:spacing w:before="9"/>
        <w:rPr>
          <w:sz w:val="21"/>
        </w:rPr>
      </w:pPr>
    </w:p>
    <w:p>
      <w:pPr>
        <w:pStyle w:val="BodyText"/>
        <w:ind w:left="796" w:right="217"/>
        <w:jc w:val="both"/>
      </w:pPr>
      <w:r>
        <w:rPr>
          <w:u w:val="single"/>
        </w:rPr>
        <w:t>19-007.06 Systems That Use Chloramines, Ozone, or Chlorine Dioxide for Primary</w:t>
      </w:r>
      <w:r>
        <w:rPr/>
        <w:t> </w:t>
      </w:r>
      <w:r>
        <w:rPr>
          <w:u w:val="single"/>
        </w:rPr>
        <w:t>Disinfection</w:t>
      </w:r>
      <w:r>
        <w:rPr/>
        <w:t>: These systems must also calculate the logs of inactivation for viruses and</w:t>
      </w:r>
    </w:p>
    <w:p>
      <w:pPr>
        <w:spacing w:after="0"/>
        <w:jc w:val="both"/>
        <w:sectPr>
          <w:pgSz w:w="12240" w:h="15840"/>
          <w:pgMar w:header="725" w:footer="745" w:top="1560" w:bottom="940" w:left="1220" w:right="1220"/>
        </w:sectPr>
      </w:pPr>
    </w:p>
    <w:p>
      <w:pPr>
        <w:pStyle w:val="BodyText"/>
        <w:spacing w:before="155"/>
        <w:ind w:left="795" w:right="219"/>
        <w:jc w:val="both"/>
      </w:pPr>
      <w:r>
        <w:rPr/>
        <w:t>develop an additional disinfection profile for viruses using methods approved by the Director.</w:t>
      </w:r>
    </w:p>
    <w:p>
      <w:pPr>
        <w:pStyle w:val="BodyText"/>
      </w:pPr>
    </w:p>
    <w:p>
      <w:pPr>
        <w:pStyle w:val="BodyText"/>
        <w:spacing w:before="1"/>
        <w:ind w:left="795" w:right="217" w:hanging="1"/>
        <w:jc w:val="both"/>
      </w:pPr>
      <w:r>
        <w:rPr>
          <w:u w:val="single"/>
        </w:rPr>
        <w:t>19-007.07 After Inactivation Ratio Has Been Developed</w:t>
      </w:r>
      <w:r>
        <w:rPr/>
        <w:t>: Each log inactivation serves as  a data point in a system’s disinfection profile. Once a system has obtained 52 measurements (one for every week of the year), the system and the Director will have the opportunity to evaluate how microbial inactivation varied over the course of the year by looking at all 52 measurements (the disinfection profile). Systems must retain the disinfection profile data in graphic form, such as a spreadsheet, which must be available for review by the Director as part of a sanitary survey. Systems must use this data to calculate a benchmark if they are considering changes to disinfection</w:t>
      </w:r>
      <w:r>
        <w:rPr>
          <w:spacing w:val="-9"/>
        </w:rPr>
        <w:t> </w:t>
      </w:r>
      <w:r>
        <w:rPr/>
        <w:t>practices.</w:t>
      </w:r>
    </w:p>
    <w:p>
      <w:pPr>
        <w:pStyle w:val="BodyText"/>
        <w:spacing w:before="10"/>
        <w:rPr>
          <w:sz w:val="21"/>
        </w:rPr>
      </w:pPr>
    </w:p>
    <w:p>
      <w:pPr>
        <w:pStyle w:val="ListParagraph"/>
        <w:numPr>
          <w:ilvl w:val="1"/>
          <w:numId w:val="1"/>
        </w:numPr>
        <w:tabs>
          <w:tab w:pos="1027" w:val="left" w:leader="none"/>
        </w:tabs>
        <w:spacing w:line="240" w:lineRule="auto" w:before="1" w:after="0"/>
        <w:ind w:left="1026" w:right="0" w:hanging="808"/>
        <w:jc w:val="left"/>
        <w:rPr>
          <w:sz w:val="22"/>
        </w:rPr>
      </w:pPr>
      <w:r>
        <w:rPr>
          <w:sz w:val="22"/>
          <w:u w:val="single"/>
        </w:rPr>
        <w:t>DISINFECTION</w:t>
      </w:r>
      <w:r>
        <w:rPr>
          <w:spacing w:val="-1"/>
          <w:sz w:val="22"/>
          <w:u w:val="single"/>
        </w:rPr>
        <w:t> </w:t>
      </w:r>
      <w:r>
        <w:rPr>
          <w:sz w:val="22"/>
          <w:u w:val="single"/>
        </w:rPr>
        <w:t>BENCHMARK</w:t>
      </w:r>
    </w:p>
    <w:p>
      <w:pPr>
        <w:pStyle w:val="BodyText"/>
        <w:spacing w:before="10"/>
        <w:rPr>
          <w:sz w:val="13"/>
        </w:rPr>
      </w:pPr>
    </w:p>
    <w:p>
      <w:pPr>
        <w:pStyle w:val="BodyText"/>
        <w:spacing w:before="92"/>
        <w:ind w:left="796" w:right="217"/>
        <w:jc w:val="both"/>
      </w:pPr>
      <w:r>
        <w:rPr>
          <w:u w:val="single"/>
        </w:rPr>
        <w:t>19-008.01 Who Must Develop a Disinfection Benchmark</w:t>
      </w:r>
      <w:r>
        <w:rPr/>
        <w:t>: Systems that use surface water or ground water under the direct influence of surface water that are required to develop a disinfection profile under 179 NAC 19-007.01 through 19-007.07 must develop a disinfection benchmark if they decide to make a significant change to their disinfection practice. These systems must consult with the Director for approval before implementing  a significant disinfection practice</w:t>
      </w:r>
      <w:r>
        <w:rPr>
          <w:spacing w:val="-1"/>
        </w:rPr>
        <w:t> </w:t>
      </w:r>
      <w:r>
        <w:rPr/>
        <w:t>change.</w:t>
      </w:r>
    </w:p>
    <w:p>
      <w:pPr>
        <w:pStyle w:val="BodyText"/>
        <w:spacing w:before="1"/>
      </w:pPr>
    </w:p>
    <w:p>
      <w:pPr>
        <w:pStyle w:val="BodyText"/>
        <w:ind w:left="796"/>
        <w:jc w:val="both"/>
      </w:pPr>
      <w:r>
        <w:rPr>
          <w:u w:val="single"/>
        </w:rPr>
        <w:t>19-008.02</w:t>
      </w:r>
      <w:r>
        <w:rPr/>
        <w:t> Significant changes to disinfection practices include:</w:t>
      </w:r>
    </w:p>
    <w:p>
      <w:pPr>
        <w:pStyle w:val="BodyText"/>
        <w:rPr>
          <w:sz w:val="14"/>
        </w:rPr>
      </w:pPr>
    </w:p>
    <w:p>
      <w:pPr>
        <w:pStyle w:val="ListParagraph"/>
        <w:numPr>
          <w:ilvl w:val="2"/>
          <w:numId w:val="1"/>
        </w:numPr>
        <w:tabs>
          <w:tab w:pos="1947" w:val="left" w:leader="none"/>
          <w:tab w:pos="1948" w:val="left" w:leader="none"/>
        </w:tabs>
        <w:spacing w:line="240" w:lineRule="auto" w:before="92" w:after="0"/>
        <w:ind w:left="1947" w:right="0" w:hanging="576"/>
        <w:jc w:val="left"/>
        <w:rPr>
          <w:sz w:val="22"/>
        </w:rPr>
      </w:pPr>
      <w:r>
        <w:rPr>
          <w:sz w:val="22"/>
        </w:rPr>
        <w:t>Changes to the point of</w:t>
      </w:r>
      <w:r>
        <w:rPr>
          <w:spacing w:val="-1"/>
          <w:sz w:val="22"/>
        </w:rPr>
        <w:t> </w:t>
      </w:r>
      <w:r>
        <w:rPr>
          <w:sz w:val="22"/>
        </w:rPr>
        <w:t>disinfection;</w:t>
      </w:r>
    </w:p>
    <w:p>
      <w:pPr>
        <w:pStyle w:val="ListParagraph"/>
        <w:numPr>
          <w:ilvl w:val="2"/>
          <w:numId w:val="1"/>
        </w:numPr>
        <w:tabs>
          <w:tab w:pos="1947" w:val="left" w:leader="none"/>
          <w:tab w:pos="1948" w:val="left" w:leader="none"/>
        </w:tabs>
        <w:spacing w:line="252" w:lineRule="exact" w:before="0" w:after="0"/>
        <w:ind w:left="1947" w:right="0" w:hanging="576"/>
        <w:jc w:val="left"/>
        <w:rPr>
          <w:sz w:val="22"/>
        </w:rPr>
      </w:pPr>
      <w:r>
        <w:rPr>
          <w:sz w:val="22"/>
        </w:rPr>
        <w:t>Changes to the disinfectant(s) used in the treatment plant;</w:t>
      </w:r>
      <w:r>
        <w:rPr>
          <w:spacing w:val="-4"/>
          <w:sz w:val="22"/>
        </w:rPr>
        <w:t> </w:t>
      </w:r>
      <w:r>
        <w:rPr>
          <w:sz w:val="22"/>
        </w:rPr>
        <w:t>or</w:t>
      </w:r>
    </w:p>
    <w:p>
      <w:pPr>
        <w:pStyle w:val="ListParagraph"/>
        <w:numPr>
          <w:ilvl w:val="2"/>
          <w:numId w:val="1"/>
        </w:numPr>
        <w:tabs>
          <w:tab w:pos="1947" w:val="left" w:leader="none"/>
          <w:tab w:pos="1948" w:val="left" w:leader="none"/>
        </w:tabs>
        <w:spacing w:line="252" w:lineRule="exact" w:before="0" w:after="0"/>
        <w:ind w:left="1947" w:right="0" w:hanging="576"/>
        <w:jc w:val="left"/>
        <w:rPr>
          <w:sz w:val="22"/>
        </w:rPr>
      </w:pPr>
      <w:r>
        <w:rPr>
          <w:sz w:val="22"/>
        </w:rPr>
        <w:t>Changes to the disinfection</w:t>
      </w:r>
      <w:r>
        <w:rPr>
          <w:spacing w:val="-2"/>
          <w:sz w:val="22"/>
        </w:rPr>
        <w:t> </w:t>
      </w:r>
      <w:r>
        <w:rPr>
          <w:sz w:val="22"/>
        </w:rPr>
        <w:t>process.</w:t>
      </w:r>
    </w:p>
    <w:p>
      <w:pPr>
        <w:pStyle w:val="BodyText"/>
        <w:spacing w:before="1"/>
      </w:pPr>
    </w:p>
    <w:p>
      <w:pPr>
        <w:pStyle w:val="BodyText"/>
        <w:ind w:left="795" w:right="218" w:hanging="1"/>
        <w:jc w:val="both"/>
      </w:pPr>
      <w:r>
        <w:rPr>
          <w:u w:val="single"/>
        </w:rPr>
        <w:t>19-008.03</w:t>
      </w:r>
      <w:r>
        <w:rPr/>
        <w:t> If a system is considering a significant change to its disinfection practice, the system must calculate a disinfection benchmark(s) as described in 179 NAC 19-008.04 and 19-008.05 and provide the benchmark(s) to the Director. Systems may only make a significant disinfection practice change after consulting with the Director for approval. Systems must submit the following information to the Director as part of the consultation and approval process:</w:t>
      </w:r>
    </w:p>
    <w:p>
      <w:pPr>
        <w:pStyle w:val="BodyText"/>
      </w:pPr>
    </w:p>
    <w:p>
      <w:pPr>
        <w:pStyle w:val="ListParagraph"/>
        <w:numPr>
          <w:ilvl w:val="0"/>
          <w:numId w:val="4"/>
        </w:numPr>
        <w:tabs>
          <w:tab w:pos="1947" w:val="left" w:leader="none"/>
          <w:tab w:pos="1948" w:val="left" w:leader="none"/>
        </w:tabs>
        <w:spacing w:line="240" w:lineRule="auto" w:before="0" w:after="0"/>
        <w:ind w:left="1947" w:right="0" w:hanging="576"/>
        <w:jc w:val="left"/>
        <w:rPr>
          <w:sz w:val="22"/>
        </w:rPr>
      </w:pPr>
      <w:r>
        <w:rPr>
          <w:sz w:val="22"/>
        </w:rPr>
        <w:t>A description of the proposed</w:t>
      </w:r>
      <w:r>
        <w:rPr>
          <w:spacing w:val="-3"/>
          <w:sz w:val="22"/>
        </w:rPr>
        <w:t> </w:t>
      </w:r>
      <w:r>
        <w:rPr>
          <w:sz w:val="22"/>
        </w:rPr>
        <w:t>change;</w:t>
      </w:r>
    </w:p>
    <w:p>
      <w:pPr>
        <w:pStyle w:val="ListParagraph"/>
        <w:numPr>
          <w:ilvl w:val="0"/>
          <w:numId w:val="4"/>
        </w:numPr>
        <w:tabs>
          <w:tab w:pos="1947" w:val="left" w:leader="none"/>
          <w:tab w:pos="1948" w:val="left" w:leader="none"/>
        </w:tabs>
        <w:spacing w:line="240" w:lineRule="auto" w:before="0" w:after="0"/>
        <w:ind w:left="1948" w:right="218" w:hanging="577"/>
        <w:jc w:val="left"/>
        <w:rPr>
          <w:sz w:val="22"/>
        </w:rPr>
      </w:pPr>
      <w:r>
        <w:rPr>
          <w:sz w:val="22"/>
        </w:rPr>
        <w:t>The disinfection profile for </w:t>
      </w:r>
      <w:r>
        <w:rPr>
          <w:i/>
          <w:sz w:val="22"/>
        </w:rPr>
        <w:t>Giardia lamblia </w:t>
      </w:r>
      <w:r>
        <w:rPr>
          <w:sz w:val="22"/>
        </w:rPr>
        <w:t>(and, if necessary, viruses) and disinfection benchmark;</w:t>
      </w:r>
      <w:r>
        <w:rPr>
          <w:spacing w:val="-1"/>
          <w:sz w:val="22"/>
        </w:rPr>
        <w:t> </w:t>
      </w:r>
      <w:r>
        <w:rPr>
          <w:sz w:val="22"/>
        </w:rPr>
        <w:t>and</w:t>
      </w:r>
    </w:p>
    <w:p>
      <w:pPr>
        <w:pStyle w:val="ListParagraph"/>
        <w:numPr>
          <w:ilvl w:val="0"/>
          <w:numId w:val="4"/>
        </w:numPr>
        <w:tabs>
          <w:tab w:pos="1947" w:val="left" w:leader="none"/>
          <w:tab w:pos="1948" w:val="left" w:leader="none"/>
        </w:tabs>
        <w:spacing w:line="240" w:lineRule="auto" w:before="0" w:after="0"/>
        <w:ind w:left="1948" w:right="216" w:hanging="577"/>
        <w:jc w:val="left"/>
        <w:rPr>
          <w:sz w:val="22"/>
        </w:rPr>
      </w:pPr>
      <w:r>
        <w:rPr>
          <w:sz w:val="22"/>
        </w:rPr>
        <w:t>An analysis of how the proposed change will affect the current levels</w:t>
      </w:r>
      <w:r>
        <w:rPr>
          <w:spacing w:val="36"/>
          <w:sz w:val="22"/>
        </w:rPr>
        <w:t> </w:t>
      </w:r>
      <w:r>
        <w:rPr>
          <w:sz w:val="22"/>
        </w:rPr>
        <w:t>of disinfection.</w:t>
      </w:r>
    </w:p>
    <w:p>
      <w:pPr>
        <w:pStyle w:val="BodyText"/>
      </w:pPr>
    </w:p>
    <w:p>
      <w:pPr>
        <w:pStyle w:val="BodyText"/>
        <w:ind w:left="796" w:right="217"/>
        <w:jc w:val="both"/>
      </w:pPr>
      <w:r>
        <w:rPr>
          <w:u w:val="single"/>
        </w:rPr>
        <w:t>19-008.04 Calculating the disinfection benchmark</w:t>
      </w:r>
      <w:r>
        <w:rPr/>
        <w:t>: Systems making a significant change to their disinfection practice must calculate a disinfection benchmark using the procedure specified in the following</w:t>
      </w:r>
      <w:r>
        <w:rPr>
          <w:spacing w:val="-2"/>
        </w:rPr>
        <w:t> </w:t>
      </w:r>
      <w:r>
        <w:rPr/>
        <w:t>table.</w:t>
      </w:r>
    </w:p>
    <w:p>
      <w:pPr>
        <w:spacing w:after="0"/>
        <w:jc w:val="both"/>
        <w:sectPr>
          <w:pgSz w:w="12240" w:h="15840"/>
          <w:pgMar w:header="725" w:footer="745" w:top="1560" w:bottom="940" w:left="1220" w:right="1220"/>
        </w:sectPr>
      </w:pPr>
    </w:p>
    <w:p>
      <w:pPr>
        <w:pStyle w:val="BodyText"/>
        <w:spacing w:before="8"/>
        <w:rPr>
          <w:sz w:val="1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76"/>
      </w:tblGrid>
      <w:tr>
        <w:trPr>
          <w:trHeight w:val="252" w:hRule="atLeast"/>
        </w:trPr>
        <w:tc>
          <w:tcPr>
            <w:tcW w:w="9576" w:type="dxa"/>
          </w:tcPr>
          <w:p>
            <w:pPr>
              <w:pStyle w:val="TableParagraph"/>
              <w:spacing w:line="233" w:lineRule="exact"/>
              <w:rPr>
                <w:b/>
                <w:sz w:val="22"/>
              </w:rPr>
            </w:pPr>
            <w:r>
              <w:rPr>
                <w:b/>
                <w:sz w:val="22"/>
              </w:rPr>
              <w:t>To Calculate a Disinfection Benchmark Your System Must Perform the Following Steps</w:t>
            </w:r>
          </w:p>
        </w:tc>
      </w:tr>
      <w:tr>
        <w:trPr>
          <w:trHeight w:val="759" w:hRule="atLeast"/>
        </w:trPr>
        <w:tc>
          <w:tcPr>
            <w:tcW w:w="9576" w:type="dxa"/>
          </w:tcPr>
          <w:p>
            <w:pPr>
              <w:pStyle w:val="TableParagraph"/>
              <w:spacing w:line="254" w:lineRule="exact" w:before="2"/>
              <w:ind w:right="96"/>
              <w:jc w:val="both"/>
              <w:rPr>
                <w:sz w:val="22"/>
              </w:rPr>
            </w:pPr>
            <w:r>
              <w:rPr>
                <w:sz w:val="22"/>
              </w:rPr>
              <w:t>Step 1: Using the data your system collected to develop the disinfection profile, determine the average </w:t>
            </w:r>
            <w:r>
              <w:rPr>
                <w:i/>
                <w:sz w:val="22"/>
              </w:rPr>
              <w:t>Giardia lamblia </w:t>
            </w:r>
            <w:r>
              <w:rPr>
                <w:sz w:val="22"/>
              </w:rPr>
              <w:t>inactivation for each calendar month by dividing the sum of all </w:t>
            </w:r>
            <w:r>
              <w:rPr>
                <w:i/>
                <w:sz w:val="22"/>
              </w:rPr>
              <w:t>Giardia </w:t>
            </w:r>
            <w:r>
              <w:rPr>
                <w:i/>
                <w:sz w:val="22"/>
              </w:rPr>
              <w:t>lamblia </w:t>
            </w:r>
            <w:r>
              <w:rPr>
                <w:sz w:val="22"/>
              </w:rPr>
              <w:t>inactivations for that month by the number of values calculated for that month.</w:t>
            </w:r>
          </w:p>
        </w:tc>
      </w:tr>
      <w:tr>
        <w:trPr>
          <w:trHeight w:val="501" w:hRule="atLeast"/>
        </w:trPr>
        <w:tc>
          <w:tcPr>
            <w:tcW w:w="9576" w:type="dxa"/>
          </w:tcPr>
          <w:p>
            <w:pPr>
              <w:pStyle w:val="TableParagraph"/>
              <w:tabs>
                <w:tab w:pos="1049" w:val="left" w:leader="none"/>
                <w:tab w:pos="8424" w:val="left" w:leader="none"/>
              </w:tabs>
              <w:spacing w:line="247" w:lineRule="exact"/>
              <w:rPr>
                <w:sz w:val="22"/>
              </w:rPr>
            </w:pPr>
            <w:r>
              <w:rPr>
                <w:sz w:val="22"/>
              </w:rPr>
              <w:t>Step</w:t>
            </w:r>
            <w:r>
              <w:rPr>
                <w:spacing w:val="39"/>
                <w:sz w:val="22"/>
              </w:rPr>
              <w:t> </w:t>
            </w:r>
            <w:r>
              <w:rPr>
                <w:sz w:val="22"/>
              </w:rPr>
              <w:t>2:</w:t>
              <w:tab/>
              <w:t>Determine</w:t>
            </w:r>
            <w:r>
              <w:rPr>
                <w:spacing w:val="39"/>
                <w:sz w:val="22"/>
              </w:rPr>
              <w:t> </w:t>
            </w:r>
            <w:r>
              <w:rPr>
                <w:sz w:val="22"/>
              </w:rPr>
              <w:t>the</w:t>
            </w:r>
            <w:r>
              <w:rPr>
                <w:spacing w:val="40"/>
                <w:sz w:val="22"/>
              </w:rPr>
              <w:t> </w:t>
            </w:r>
            <w:r>
              <w:rPr>
                <w:sz w:val="22"/>
              </w:rPr>
              <w:t>lowest</w:t>
            </w:r>
            <w:r>
              <w:rPr>
                <w:spacing w:val="40"/>
                <w:sz w:val="22"/>
              </w:rPr>
              <w:t> </w:t>
            </w:r>
            <w:r>
              <w:rPr>
                <w:sz w:val="22"/>
              </w:rPr>
              <w:t>monthly</w:t>
            </w:r>
            <w:r>
              <w:rPr>
                <w:spacing w:val="39"/>
                <w:sz w:val="22"/>
              </w:rPr>
              <w:t> </w:t>
            </w:r>
            <w:r>
              <w:rPr>
                <w:sz w:val="22"/>
              </w:rPr>
              <w:t>average</w:t>
            </w:r>
            <w:r>
              <w:rPr>
                <w:spacing w:val="41"/>
                <w:sz w:val="22"/>
              </w:rPr>
              <w:t> </w:t>
            </w:r>
            <w:r>
              <w:rPr>
                <w:sz w:val="22"/>
              </w:rPr>
              <w:t>value</w:t>
            </w:r>
            <w:r>
              <w:rPr>
                <w:spacing w:val="39"/>
                <w:sz w:val="22"/>
              </w:rPr>
              <w:t> </w:t>
            </w:r>
            <w:r>
              <w:rPr>
                <w:sz w:val="22"/>
              </w:rPr>
              <w:t>out</w:t>
            </w:r>
            <w:r>
              <w:rPr>
                <w:spacing w:val="39"/>
                <w:sz w:val="22"/>
              </w:rPr>
              <w:t> </w:t>
            </w:r>
            <w:r>
              <w:rPr>
                <w:sz w:val="22"/>
              </w:rPr>
              <w:t>of</w:t>
            </w:r>
            <w:r>
              <w:rPr>
                <w:spacing w:val="39"/>
                <w:sz w:val="22"/>
              </w:rPr>
              <w:t> </w:t>
            </w:r>
            <w:r>
              <w:rPr>
                <w:sz w:val="22"/>
              </w:rPr>
              <w:t>the</w:t>
            </w:r>
            <w:r>
              <w:rPr>
                <w:spacing w:val="40"/>
                <w:sz w:val="22"/>
              </w:rPr>
              <w:t> </w:t>
            </w:r>
            <w:r>
              <w:rPr>
                <w:sz w:val="22"/>
              </w:rPr>
              <w:t>twelve</w:t>
            </w:r>
            <w:r>
              <w:rPr>
                <w:spacing w:val="40"/>
                <w:sz w:val="22"/>
              </w:rPr>
              <w:t> </w:t>
            </w:r>
            <w:r>
              <w:rPr>
                <w:sz w:val="22"/>
              </w:rPr>
              <w:t>values.</w:t>
              <w:tab/>
              <w:t>This</w:t>
            </w:r>
            <w:r>
              <w:rPr>
                <w:spacing w:val="41"/>
                <w:sz w:val="22"/>
              </w:rPr>
              <w:t> </w:t>
            </w:r>
            <w:r>
              <w:rPr>
                <w:sz w:val="22"/>
              </w:rPr>
              <w:t>value</w:t>
            </w:r>
          </w:p>
          <w:p>
            <w:pPr>
              <w:pStyle w:val="TableParagraph"/>
              <w:spacing w:line="234" w:lineRule="exact"/>
              <w:rPr>
                <w:sz w:val="22"/>
              </w:rPr>
            </w:pPr>
            <w:r>
              <w:rPr>
                <w:sz w:val="22"/>
              </w:rPr>
              <w:t>becomes the disinfection benchmark.</w:t>
            </w:r>
          </w:p>
        </w:tc>
      </w:tr>
    </w:tbl>
    <w:p>
      <w:pPr>
        <w:pStyle w:val="BodyText"/>
        <w:spacing w:before="8"/>
        <w:rPr>
          <w:sz w:val="13"/>
        </w:rPr>
      </w:pPr>
    </w:p>
    <w:p>
      <w:pPr>
        <w:pStyle w:val="BodyText"/>
        <w:spacing w:before="93"/>
        <w:ind w:left="796" w:right="218"/>
        <w:jc w:val="both"/>
      </w:pPr>
      <w:r>
        <w:rPr>
          <w:u w:val="single"/>
        </w:rPr>
        <w:t>19-008.05 Systems That Use Chloramines, Ozone, or Chlorine Dioxide for Primary</w:t>
      </w:r>
      <w:r>
        <w:rPr/>
        <w:t> </w:t>
      </w:r>
      <w:r>
        <w:rPr>
          <w:u w:val="single"/>
        </w:rPr>
        <w:t>Disinfection</w:t>
      </w:r>
      <w:r>
        <w:rPr/>
        <w:t>: These systems must calculate the disinfection benchmark from the data the system collected for viruses to develop the disinfection profile in addition to the </w:t>
      </w:r>
      <w:r>
        <w:rPr>
          <w:i/>
        </w:rPr>
        <w:t>Giardia </w:t>
      </w:r>
      <w:r>
        <w:rPr>
          <w:i/>
        </w:rPr>
        <w:t>lamblia </w:t>
      </w:r>
      <w:r>
        <w:rPr/>
        <w:t>disinfection benchmark calculated under 179 NAC 19-008.04. This viral benchmark must be calculated in the same manner used to calculate the </w:t>
      </w:r>
      <w:r>
        <w:rPr>
          <w:i/>
        </w:rPr>
        <w:t>Giardia lamblia </w:t>
      </w:r>
      <w:r>
        <w:rPr/>
        <w:t>disinfection benchmark in 179 NAC</w:t>
      </w:r>
      <w:r>
        <w:rPr>
          <w:spacing w:val="-2"/>
        </w:rPr>
        <w:t> </w:t>
      </w:r>
      <w:r>
        <w:rPr/>
        <w:t>19-008.04.</w:t>
      </w:r>
    </w:p>
    <w:p>
      <w:pPr>
        <w:pStyle w:val="BodyText"/>
      </w:pPr>
    </w:p>
    <w:p>
      <w:pPr>
        <w:pStyle w:val="ListParagraph"/>
        <w:numPr>
          <w:ilvl w:val="1"/>
          <w:numId w:val="1"/>
        </w:numPr>
        <w:tabs>
          <w:tab w:pos="1027" w:val="left" w:leader="none"/>
        </w:tabs>
        <w:spacing w:line="240" w:lineRule="auto" w:before="0" w:after="0"/>
        <w:ind w:left="1026" w:right="0" w:hanging="808"/>
        <w:jc w:val="left"/>
        <w:rPr>
          <w:sz w:val="22"/>
        </w:rPr>
      </w:pPr>
      <w:r>
        <w:rPr>
          <w:sz w:val="22"/>
          <w:u w:val="single"/>
        </w:rPr>
        <w:t>COMBINED FILTER EFFLUENT REQUIREMENTS</w:t>
      </w:r>
    </w:p>
    <w:p>
      <w:pPr>
        <w:pStyle w:val="BodyText"/>
        <w:spacing w:before="11"/>
        <w:rPr>
          <w:sz w:val="13"/>
        </w:rPr>
      </w:pPr>
    </w:p>
    <w:p>
      <w:pPr>
        <w:pStyle w:val="BodyText"/>
        <w:spacing w:before="92"/>
        <w:ind w:left="796" w:right="215"/>
        <w:jc w:val="both"/>
      </w:pPr>
      <w:r>
        <w:rPr>
          <w:u w:val="single"/>
        </w:rPr>
        <w:t>19-009.01</w:t>
      </w:r>
      <w:r>
        <w:rPr/>
        <w:t> All systems that use surface water or ground water under the direct influence  of surface water and serve fewer than 10,000 persons, are required to filter, and utilize filtration other than slow sand filtration or diatomaceous earth filtration must meet the combined filter effluent turbidity requirements of 179 NAC 19-009.02 to 19-009.04. Systems that use slow sand or diatomaceous earth filtration are not required to meet the combined filter effluent turbidity limits of 179 NAC 19, but they must continue to meet the combined filter effluent turbidity limits in 179 NAC</w:t>
      </w:r>
      <w:r>
        <w:rPr>
          <w:spacing w:val="-2"/>
        </w:rPr>
        <w:t> </w:t>
      </w:r>
      <w:r>
        <w:rPr/>
        <w:t>13-006.</w:t>
      </w:r>
    </w:p>
    <w:p>
      <w:pPr>
        <w:pStyle w:val="BodyText"/>
        <w:spacing w:before="1"/>
      </w:pPr>
    </w:p>
    <w:p>
      <w:pPr>
        <w:pStyle w:val="BodyText"/>
        <w:ind w:left="796" w:right="218"/>
        <w:jc w:val="both"/>
      </w:pPr>
      <w:r>
        <w:rPr>
          <w:u w:val="single"/>
        </w:rPr>
        <w:t>19-009.02 Strengthened Combined Filter Effluent Turbidity Limits</w:t>
      </w:r>
      <w:r>
        <w:rPr/>
        <w:t>: Systems must meet two strengthened combined filter effluent turbidity</w:t>
      </w:r>
      <w:r>
        <w:rPr>
          <w:spacing w:val="-2"/>
        </w:rPr>
        <w:t> </w:t>
      </w:r>
      <w:r>
        <w:rPr/>
        <w:t>limits:</w:t>
      </w:r>
    </w:p>
    <w:p>
      <w:pPr>
        <w:pStyle w:val="BodyText"/>
        <w:spacing w:before="10"/>
        <w:rPr>
          <w:sz w:val="21"/>
        </w:rPr>
      </w:pPr>
    </w:p>
    <w:p>
      <w:pPr>
        <w:pStyle w:val="ListParagraph"/>
        <w:numPr>
          <w:ilvl w:val="2"/>
          <w:numId w:val="1"/>
        </w:numPr>
        <w:tabs>
          <w:tab w:pos="1948" w:val="left" w:leader="none"/>
        </w:tabs>
        <w:spacing w:line="240" w:lineRule="auto" w:before="1" w:after="0"/>
        <w:ind w:left="1947" w:right="216" w:hanging="576"/>
        <w:jc w:val="both"/>
        <w:rPr>
          <w:sz w:val="22"/>
        </w:rPr>
      </w:pPr>
      <w:r>
        <w:rPr>
          <w:sz w:val="22"/>
        </w:rPr>
        <w:t>The first combined filter effluent turbidity limit is a “95</w:t>
      </w:r>
      <w:r>
        <w:rPr>
          <w:sz w:val="22"/>
          <w:vertAlign w:val="superscript"/>
        </w:rPr>
        <w:t>th</w:t>
      </w:r>
      <w:r>
        <w:rPr>
          <w:sz w:val="22"/>
          <w:vertAlign w:val="baseline"/>
        </w:rPr>
        <w:t> percentile” turbidity limit that systems must meet in at least 95% of the turbidity measurements taken each month. Measurements must continue to be taken as described in 179 NAC 13-007.01 and 13-007.03. Monthly reporting must be completed according to 179 NAC 19-011.01. The following table describes the required limits for specific filtration</w:t>
      </w:r>
      <w:r>
        <w:rPr>
          <w:spacing w:val="-2"/>
          <w:sz w:val="22"/>
          <w:vertAlign w:val="baseline"/>
        </w:rPr>
        <w:t> </w:t>
      </w:r>
      <w:r>
        <w:rPr>
          <w:sz w:val="22"/>
          <w:vertAlign w:val="baseline"/>
        </w:rPr>
        <w:t>technologies.</w:t>
      </w:r>
    </w:p>
    <w:p>
      <w:pPr>
        <w:pStyle w:val="BodyText"/>
        <w:spacing w:before="2"/>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252" w:hRule="atLeast"/>
        </w:trPr>
        <w:tc>
          <w:tcPr>
            <w:tcW w:w="4788" w:type="dxa"/>
          </w:tcPr>
          <w:p>
            <w:pPr>
              <w:pStyle w:val="TableParagraph"/>
              <w:spacing w:line="233" w:lineRule="exact"/>
              <w:rPr>
                <w:b/>
                <w:sz w:val="22"/>
              </w:rPr>
            </w:pPr>
            <w:r>
              <w:rPr>
                <w:b/>
                <w:sz w:val="22"/>
              </w:rPr>
              <w:t>If Your System Consists of</w:t>
            </w:r>
          </w:p>
        </w:tc>
        <w:tc>
          <w:tcPr>
            <w:tcW w:w="4788" w:type="dxa"/>
          </w:tcPr>
          <w:p>
            <w:pPr>
              <w:pStyle w:val="TableParagraph"/>
              <w:spacing w:line="233" w:lineRule="exact"/>
              <w:ind w:left="108"/>
              <w:rPr>
                <w:b/>
                <w:sz w:val="22"/>
              </w:rPr>
            </w:pPr>
            <w:r>
              <w:rPr>
                <w:b/>
                <w:sz w:val="22"/>
              </w:rPr>
              <w:t>Your 95</w:t>
            </w:r>
            <w:r>
              <w:rPr>
                <w:b/>
                <w:sz w:val="22"/>
                <w:vertAlign w:val="superscript"/>
              </w:rPr>
              <w:t>th</w:t>
            </w:r>
            <w:r>
              <w:rPr>
                <w:b/>
                <w:sz w:val="22"/>
                <w:vertAlign w:val="baseline"/>
              </w:rPr>
              <w:t> Percentile Turbidity Value Is</w:t>
            </w:r>
          </w:p>
        </w:tc>
      </w:tr>
      <w:tr>
        <w:trPr>
          <w:trHeight w:val="253" w:hRule="atLeast"/>
        </w:trPr>
        <w:tc>
          <w:tcPr>
            <w:tcW w:w="4788" w:type="dxa"/>
          </w:tcPr>
          <w:p>
            <w:pPr>
              <w:pStyle w:val="TableParagraph"/>
              <w:spacing w:line="234" w:lineRule="exact"/>
              <w:rPr>
                <w:sz w:val="22"/>
              </w:rPr>
            </w:pPr>
            <w:r>
              <w:rPr>
                <w:sz w:val="22"/>
              </w:rPr>
              <w:t>1. Conventional Filtration or Direct Filtration</w:t>
            </w:r>
          </w:p>
        </w:tc>
        <w:tc>
          <w:tcPr>
            <w:tcW w:w="4788" w:type="dxa"/>
          </w:tcPr>
          <w:p>
            <w:pPr>
              <w:pStyle w:val="TableParagraph"/>
              <w:spacing w:line="234" w:lineRule="exact"/>
              <w:ind w:left="106"/>
              <w:rPr>
                <w:sz w:val="22"/>
              </w:rPr>
            </w:pPr>
            <w:r>
              <w:rPr>
                <w:sz w:val="22"/>
              </w:rPr>
              <w:t>0.3 NTU.</w:t>
            </w:r>
          </w:p>
        </w:tc>
      </w:tr>
      <w:tr>
        <w:trPr>
          <w:trHeight w:val="759" w:hRule="atLeast"/>
        </w:trPr>
        <w:tc>
          <w:tcPr>
            <w:tcW w:w="4788" w:type="dxa"/>
          </w:tcPr>
          <w:p>
            <w:pPr>
              <w:pStyle w:val="TableParagraph"/>
              <w:spacing w:line="250" w:lineRule="exact"/>
              <w:rPr>
                <w:sz w:val="22"/>
              </w:rPr>
            </w:pPr>
            <w:r>
              <w:rPr>
                <w:sz w:val="22"/>
              </w:rPr>
              <w:t>2. All other “Alternative” Filtration</w:t>
            </w:r>
          </w:p>
        </w:tc>
        <w:tc>
          <w:tcPr>
            <w:tcW w:w="4788" w:type="dxa"/>
          </w:tcPr>
          <w:p>
            <w:pPr>
              <w:pStyle w:val="TableParagraph"/>
              <w:spacing w:line="254" w:lineRule="exact"/>
              <w:ind w:right="96" w:hanging="1"/>
              <w:jc w:val="both"/>
              <w:rPr>
                <w:sz w:val="22"/>
              </w:rPr>
            </w:pPr>
            <w:r>
              <w:rPr>
                <w:sz w:val="22"/>
              </w:rPr>
              <w:t>A value determined by the Director (not to exceed 1 NTU) based on the demonstration described in 179 NAC 19-009.03.</w:t>
            </w:r>
          </w:p>
        </w:tc>
      </w:tr>
    </w:tbl>
    <w:p>
      <w:pPr>
        <w:pStyle w:val="BodyText"/>
        <w:spacing w:before="8"/>
        <w:rPr>
          <w:sz w:val="21"/>
        </w:rPr>
      </w:pPr>
    </w:p>
    <w:p>
      <w:pPr>
        <w:pStyle w:val="ListParagraph"/>
        <w:numPr>
          <w:ilvl w:val="2"/>
          <w:numId w:val="1"/>
        </w:numPr>
        <w:tabs>
          <w:tab w:pos="1948" w:val="left" w:leader="none"/>
        </w:tabs>
        <w:spacing w:line="240" w:lineRule="auto" w:before="0" w:after="0"/>
        <w:ind w:left="1948" w:right="218" w:hanging="577"/>
        <w:jc w:val="both"/>
        <w:rPr>
          <w:sz w:val="22"/>
        </w:rPr>
      </w:pPr>
      <w:r>
        <w:rPr>
          <w:sz w:val="22"/>
        </w:rPr>
        <w:t>The second combined filter effluent turbidity limit is a “maximum” turbidity limit which your system may at no time exceed during the month. Measurements must continue to be taken as described in 179 NAC 13-007.01 and 13-007.03. Monthly reporting must be completed according to 179 NAC 19-011.01. The following table describes the required limits for specific filtration</w:t>
      </w:r>
      <w:r>
        <w:rPr>
          <w:spacing w:val="-14"/>
          <w:sz w:val="22"/>
        </w:rPr>
        <w:t> </w:t>
      </w:r>
      <w:r>
        <w:rPr>
          <w:sz w:val="22"/>
        </w:rPr>
        <w:t>technologies.</w:t>
      </w:r>
    </w:p>
    <w:p>
      <w:pPr>
        <w:spacing w:after="0" w:line="240" w:lineRule="auto"/>
        <w:jc w:val="both"/>
        <w:rPr>
          <w:sz w:val="22"/>
        </w:rPr>
        <w:sectPr>
          <w:pgSz w:w="12240" w:h="15840"/>
          <w:pgMar w:header="725" w:footer="745" w:top="1560" w:bottom="940" w:left="1220" w:right="1220"/>
        </w:sectPr>
      </w:pPr>
    </w:p>
    <w:p>
      <w:pPr>
        <w:pStyle w:val="BodyText"/>
        <w:spacing w:before="8"/>
        <w:rPr>
          <w:sz w:val="1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252" w:hRule="atLeast"/>
        </w:trPr>
        <w:tc>
          <w:tcPr>
            <w:tcW w:w="4788" w:type="dxa"/>
          </w:tcPr>
          <w:p>
            <w:pPr>
              <w:pStyle w:val="TableParagraph"/>
              <w:spacing w:line="233" w:lineRule="exact"/>
              <w:rPr>
                <w:b/>
                <w:sz w:val="22"/>
              </w:rPr>
            </w:pPr>
            <w:r>
              <w:rPr>
                <w:b/>
                <w:sz w:val="22"/>
              </w:rPr>
              <w:t>If Your System Consists of</w:t>
            </w:r>
          </w:p>
        </w:tc>
        <w:tc>
          <w:tcPr>
            <w:tcW w:w="4788" w:type="dxa"/>
          </w:tcPr>
          <w:p>
            <w:pPr>
              <w:pStyle w:val="TableParagraph"/>
              <w:spacing w:line="233" w:lineRule="exact"/>
              <w:rPr>
                <w:b/>
                <w:sz w:val="22"/>
              </w:rPr>
            </w:pPr>
            <w:r>
              <w:rPr>
                <w:b/>
                <w:sz w:val="22"/>
              </w:rPr>
              <w:t>Your Maximum Turbidity Value Is</w:t>
            </w:r>
          </w:p>
        </w:tc>
      </w:tr>
      <w:tr>
        <w:trPr>
          <w:trHeight w:val="253" w:hRule="atLeast"/>
        </w:trPr>
        <w:tc>
          <w:tcPr>
            <w:tcW w:w="4788" w:type="dxa"/>
          </w:tcPr>
          <w:p>
            <w:pPr>
              <w:pStyle w:val="TableParagraph"/>
              <w:spacing w:line="234" w:lineRule="exact"/>
              <w:rPr>
                <w:sz w:val="22"/>
              </w:rPr>
            </w:pPr>
            <w:r>
              <w:rPr>
                <w:sz w:val="22"/>
              </w:rPr>
              <w:t>1. Conventional Filtration or Direct Filtration</w:t>
            </w:r>
          </w:p>
        </w:tc>
        <w:tc>
          <w:tcPr>
            <w:tcW w:w="4788" w:type="dxa"/>
          </w:tcPr>
          <w:p>
            <w:pPr>
              <w:pStyle w:val="TableParagraph"/>
              <w:spacing w:line="234" w:lineRule="exact"/>
              <w:rPr>
                <w:sz w:val="22"/>
              </w:rPr>
            </w:pPr>
            <w:r>
              <w:rPr>
                <w:sz w:val="22"/>
              </w:rPr>
              <w:t>1 NTU</w:t>
            </w:r>
          </w:p>
        </w:tc>
      </w:tr>
      <w:tr>
        <w:trPr>
          <w:trHeight w:val="908" w:hRule="atLeast"/>
        </w:trPr>
        <w:tc>
          <w:tcPr>
            <w:tcW w:w="4788" w:type="dxa"/>
          </w:tcPr>
          <w:p>
            <w:pPr>
              <w:pStyle w:val="TableParagraph"/>
              <w:spacing w:line="250" w:lineRule="exact"/>
              <w:rPr>
                <w:sz w:val="22"/>
              </w:rPr>
            </w:pPr>
            <w:r>
              <w:rPr>
                <w:sz w:val="22"/>
              </w:rPr>
              <w:t>2. All other “Alternative” Filtration</w:t>
            </w:r>
          </w:p>
        </w:tc>
        <w:tc>
          <w:tcPr>
            <w:tcW w:w="4788" w:type="dxa"/>
          </w:tcPr>
          <w:p>
            <w:pPr>
              <w:pStyle w:val="TableParagraph"/>
              <w:ind w:right="97" w:hanging="1"/>
              <w:jc w:val="both"/>
              <w:rPr>
                <w:sz w:val="22"/>
              </w:rPr>
            </w:pPr>
            <w:r>
              <w:rPr>
                <w:sz w:val="22"/>
              </w:rPr>
              <w:t>A value determined by the Director (not to exceed 5 NTU) based on the demonstration as described in 179 NAC 19-009.03.</w:t>
            </w:r>
          </w:p>
        </w:tc>
      </w:tr>
    </w:tbl>
    <w:p>
      <w:pPr>
        <w:pStyle w:val="BodyText"/>
        <w:spacing w:before="8"/>
        <w:rPr>
          <w:sz w:val="13"/>
        </w:rPr>
      </w:pPr>
    </w:p>
    <w:p>
      <w:pPr>
        <w:pStyle w:val="BodyText"/>
        <w:spacing w:before="93"/>
        <w:ind w:left="796"/>
      </w:pPr>
      <w:r>
        <w:rPr>
          <w:u w:val="single"/>
        </w:rPr>
        <w:t>19-009.03 Systems Using “Alternative Filtration</w:t>
      </w:r>
      <w:r>
        <w:rPr/>
        <w:t>:”</w:t>
      </w:r>
    </w:p>
    <w:p>
      <w:pPr>
        <w:pStyle w:val="BodyText"/>
        <w:spacing w:before="10"/>
        <w:rPr>
          <w:sz w:val="13"/>
        </w:rPr>
      </w:pPr>
    </w:p>
    <w:p>
      <w:pPr>
        <w:pStyle w:val="BodyText"/>
        <w:spacing w:before="93"/>
        <w:ind w:left="1372" w:right="216"/>
        <w:jc w:val="both"/>
      </w:pPr>
      <w:r>
        <w:rPr>
          <w:u w:val="single"/>
        </w:rPr>
        <w:t>19-009.03A</w:t>
      </w:r>
      <w:r>
        <w:rPr/>
        <w:t> Systems using alternative filtration (filtration other than slow sand filtration, diatomaceous earth filtration, conventional filtration, or direct filtration) are required to conduct a demonstration (see tables in 179 NAC 19-009.02). Systems must demonstrate to the Director, using pilot plant studies or other means, that their system’s filtration, in combination with disinfection treatment, consistently achieves:</w:t>
      </w:r>
    </w:p>
    <w:p>
      <w:pPr>
        <w:pStyle w:val="BodyText"/>
      </w:pPr>
    </w:p>
    <w:p>
      <w:pPr>
        <w:pStyle w:val="ListParagraph"/>
        <w:numPr>
          <w:ilvl w:val="3"/>
          <w:numId w:val="1"/>
        </w:numPr>
        <w:tabs>
          <w:tab w:pos="2523" w:val="left" w:leader="none"/>
          <w:tab w:pos="2524" w:val="left" w:leader="none"/>
        </w:tabs>
        <w:spacing w:line="240" w:lineRule="auto" w:before="0" w:after="0"/>
        <w:ind w:left="2523" w:right="0" w:hanging="576"/>
        <w:jc w:val="left"/>
        <w:rPr>
          <w:sz w:val="22"/>
        </w:rPr>
      </w:pPr>
      <w:r>
        <w:rPr>
          <w:sz w:val="22"/>
        </w:rPr>
        <w:t>99% removal of </w:t>
      </w:r>
      <w:r>
        <w:rPr>
          <w:i/>
          <w:sz w:val="22"/>
        </w:rPr>
        <w:t>Cryptosporidium</w:t>
      </w:r>
      <w:r>
        <w:rPr>
          <w:i/>
          <w:spacing w:val="-3"/>
          <w:sz w:val="22"/>
        </w:rPr>
        <w:t> </w:t>
      </w:r>
      <w:r>
        <w:rPr>
          <w:sz w:val="22"/>
        </w:rPr>
        <w:t>oocysts;</w:t>
      </w:r>
    </w:p>
    <w:p>
      <w:pPr>
        <w:pStyle w:val="ListParagraph"/>
        <w:numPr>
          <w:ilvl w:val="3"/>
          <w:numId w:val="1"/>
        </w:numPr>
        <w:tabs>
          <w:tab w:pos="2523" w:val="left" w:leader="none"/>
          <w:tab w:pos="2524" w:val="left" w:leader="none"/>
        </w:tabs>
        <w:spacing w:line="240" w:lineRule="auto" w:before="0" w:after="0"/>
        <w:ind w:left="2523" w:right="0" w:hanging="576"/>
        <w:jc w:val="left"/>
        <w:rPr>
          <w:sz w:val="22"/>
        </w:rPr>
      </w:pPr>
      <w:r>
        <w:rPr>
          <w:sz w:val="22"/>
        </w:rPr>
        <w:t>99.9% removal and/or inactivation of </w:t>
      </w:r>
      <w:r>
        <w:rPr>
          <w:i/>
          <w:sz w:val="22"/>
        </w:rPr>
        <w:t>Giardia lamblia </w:t>
      </w:r>
      <w:r>
        <w:rPr>
          <w:sz w:val="22"/>
        </w:rPr>
        <w:t>cysts;</w:t>
      </w:r>
      <w:r>
        <w:rPr>
          <w:spacing w:val="-4"/>
          <w:sz w:val="22"/>
        </w:rPr>
        <w:t> </w:t>
      </w:r>
      <w:r>
        <w:rPr>
          <w:sz w:val="22"/>
        </w:rPr>
        <w:t>and</w:t>
      </w:r>
    </w:p>
    <w:p>
      <w:pPr>
        <w:pStyle w:val="ListParagraph"/>
        <w:numPr>
          <w:ilvl w:val="3"/>
          <w:numId w:val="1"/>
        </w:numPr>
        <w:tabs>
          <w:tab w:pos="2523" w:val="left" w:leader="none"/>
          <w:tab w:pos="2524" w:val="left" w:leader="none"/>
        </w:tabs>
        <w:spacing w:line="240" w:lineRule="auto" w:before="0" w:after="0"/>
        <w:ind w:left="2523" w:right="0" w:hanging="576"/>
        <w:jc w:val="left"/>
        <w:rPr>
          <w:sz w:val="22"/>
        </w:rPr>
      </w:pPr>
      <w:r>
        <w:rPr>
          <w:sz w:val="22"/>
        </w:rPr>
        <w:t>99.99% removal and/or inactivation of</w:t>
      </w:r>
      <w:r>
        <w:rPr>
          <w:spacing w:val="-1"/>
          <w:sz w:val="22"/>
        </w:rPr>
        <w:t> </w:t>
      </w:r>
      <w:r>
        <w:rPr>
          <w:sz w:val="22"/>
        </w:rPr>
        <w:t>viruses.</w:t>
      </w:r>
    </w:p>
    <w:p>
      <w:pPr>
        <w:pStyle w:val="BodyText"/>
        <w:spacing w:before="11"/>
        <w:rPr>
          <w:sz w:val="21"/>
        </w:rPr>
      </w:pPr>
    </w:p>
    <w:p>
      <w:pPr>
        <w:pStyle w:val="BodyText"/>
        <w:tabs>
          <w:tab w:pos="2050" w:val="left" w:leader="none"/>
        </w:tabs>
        <w:ind w:left="796" w:right="285"/>
      </w:pPr>
      <w:r>
        <w:rPr>
          <w:u w:val="single"/>
        </w:rPr>
        <w:t>19-009.04</w:t>
      </w:r>
      <w:r>
        <w:rPr/>
        <w:tab/>
        <w:t>Systems using lime softening may acidify representative combined filter effluent turbidity samples prior to analysis using a protocol approved by the</w:t>
      </w:r>
      <w:r>
        <w:rPr>
          <w:spacing w:val="-9"/>
        </w:rPr>
        <w:t> </w:t>
      </w:r>
      <w:r>
        <w:rPr/>
        <w:t>Director.</w:t>
      </w:r>
    </w:p>
    <w:p>
      <w:pPr>
        <w:pStyle w:val="BodyText"/>
        <w:spacing w:before="1"/>
      </w:pPr>
    </w:p>
    <w:p>
      <w:pPr>
        <w:pStyle w:val="ListParagraph"/>
        <w:numPr>
          <w:ilvl w:val="1"/>
          <w:numId w:val="1"/>
        </w:numPr>
        <w:tabs>
          <w:tab w:pos="1027" w:val="left" w:leader="none"/>
        </w:tabs>
        <w:spacing w:line="240" w:lineRule="auto" w:before="0" w:after="0"/>
        <w:ind w:left="1026" w:right="0" w:hanging="808"/>
        <w:jc w:val="left"/>
        <w:rPr>
          <w:sz w:val="22"/>
        </w:rPr>
      </w:pPr>
      <w:r>
        <w:rPr>
          <w:sz w:val="22"/>
          <w:u w:val="single"/>
        </w:rPr>
        <w:t>INDIVIDUAL FILTER TURBIDITY</w:t>
      </w:r>
      <w:r>
        <w:rPr>
          <w:spacing w:val="-1"/>
          <w:sz w:val="22"/>
          <w:u w:val="single"/>
        </w:rPr>
        <w:t> </w:t>
      </w:r>
      <w:r>
        <w:rPr>
          <w:sz w:val="22"/>
          <w:u w:val="single"/>
        </w:rPr>
        <w:t>REQUIREMENTS</w:t>
      </w:r>
    </w:p>
    <w:p>
      <w:pPr>
        <w:pStyle w:val="BodyText"/>
        <w:spacing w:before="10"/>
        <w:rPr>
          <w:sz w:val="13"/>
        </w:rPr>
      </w:pPr>
    </w:p>
    <w:p>
      <w:pPr>
        <w:pStyle w:val="BodyText"/>
        <w:spacing w:before="93"/>
        <w:ind w:left="796" w:right="216"/>
        <w:jc w:val="both"/>
      </w:pPr>
      <w:r>
        <w:rPr>
          <w:u w:val="single"/>
        </w:rPr>
        <w:t>19-010.01</w:t>
      </w:r>
      <w:r>
        <w:rPr/>
        <w:t> Systems that use surface water or ground water under the direct influence of surface water and serve fewer than 10,000 people and utilize conventional filtration or direct filtration must conduct continuous monitoring of turbidity for each individual filter. The following requirements apply to continuous turbidity</w:t>
      </w:r>
      <w:r>
        <w:rPr>
          <w:spacing w:val="-3"/>
        </w:rPr>
        <w:t> </w:t>
      </w:r>
      <w:r>
        <w:rPr/>
        <w:t>monitoring:</w:t>
      </w:r>
    </w:p>
    <w:p>
      <w:pPr>
        <w:pStyle w:val="BodyText"/>
        <w:spacing w:before="11"/>
        <w:rPr>
          <w:sz w:val="21"/>
        </w:rPr>
      </w:pPr>
    </w:p>
    <w:p>
      <w:pPr>
        <w:pStyle w:val="ListParagraph"/>
        <w:numPr>
          <w:ilvl w:val="2"/>
          <w:numId w:val="1"/>
        </w:numPr>
        <w:tabs>
          <w:tab w:pos="1948" w:val="left" w:leader="none"/>
        </w:tabs>
        <w:spacing w:line="240" w:lineRule="auto" w:before="0" w:after="0"/>
        <w:ind w:left="1948" w:right="219" w:hanging="577"/>
        <w:jc w:val="both"/>
        <w:rPr>
          <w:sz w:val="22"/>
        </w:rPr>
      </w:pPr>
      <w:r>
        <w:rPr>
          <w:sz w:val="22"/>
        </w:rPr>
        <w:t>Monitoring must be conducted using an approved method in 179 NAC 13- 007.01;</w:t>
      </w:r>
    </w:p>
    <w:p>
      <w:pPr>
        <w:pStyle w:val="ListParagraph"/>
        <w:numPr>
          <w:ilvl w:val="2"/>
          <w:numId w:val="1"/>
        </w:numPr>
        <w:tabs>
          <w:tab w:pos="1948" w:val="left" w:leader="none"/>
        </w:tabs>
        <w:spacing w:line="240" w:lineRule="auto" w:before="0" w:after="0"/>
        <w:ind w:left="1948" w:right="216" w:hanging="577"/>
        <w:jc w:val="both"/>
        <w:rPr>
          <w:sz w:val="22"/>
        </w:rPr>
      </w:pPr>
      <w:r>
        <w:rPr>
          <w:sz w:val="22"/>
        </w:rPr>
        <w:t>Calibration of turbidimeters must be conducted using procedures specified by the manufacturer and by analytical test procedures contained in </w:t>
      </w:r>
      <w:r>
        <w:rPr>
          <w:i/>
          <w:sz w:val="22"/>
        </w:rPr>
        <w:t>Technical </w:t>
      </w:r>
      <w:r>
        <w:rPr>
          <w:i/>
          <w:sz w:val="22"/>
        </w:rPr>
        <w:t>Notes on Drinking Water Methods</w:t>
      </w:r>
      <w:r>
        <w:rPr>
          <w:sz w:val="22"/>
        </w:rPr>
        <w:t>, EPA-600/R-94-173, October 1994 which is hereby incorporated by reference. (This document is available from the National Technical Information Service, NTIS PB95-104766, U.S. Department of Commerce, 5285 Port Royal Road, Springfield, Virginia 22161. The toll- free number is 800-553-6847.) The document may be inspected at the Department of Health and Human Services Regulation and Licensure, Public Health Assurance Division, 301 Centennial Mall South, Lincoln, NE</w:t>
      </w:r>
      <w:r>
        <w:rPr>
          <w:spacing w:val="51"/>
          <w:sz w:val="22"/>
        </w:rPr>
        <w:t> </w:t>
      </w:r>
      <w:r>
        <w:rPr>
          <w:sz w:val="22"/>
        </w:rPr>
        <w:t>68509.</w:t>
      </w:r>
    </w:p>
    <w:p>
      <w:pPr>
        <w:pStyle w:val="ListParagraph"/>
        <w:numPr>
          <w:ilvl w:val="2"/>
          <w:numId w:val="1"/>
        </w:numPr>
        <w:tabs>
          <w:tab w:pos="1948" w:val="left" w:leader="none"/>
        </w:tabs>
        <w:spacing w:line="253" w:lineRule="exact" w:before="0" w:after="0"/>
        <w:ind w:left="1947" w:right="0" w:hanging="576"/>
        <w:jc w:val="both"/>
        <w:rPr>
          <w:sz w:val="22"/>
        </w:rPr>
      </w:pPr>
      <w:r>
        <w:rPr>
          <w:sz w:val="22"/>
        </w:rPr>
        <w:t>Results of turbidity monitoring must be recorded at least every 15</w:t>
      </w:r>
      <w:r>
        <w:rPr>
          <w:spacing w:val="-8"/>
          <w:sz w:val="22"/>
        </w:rPr>
        <w:t> </w:t>
      </w:r>
      <w:r>
        <w:rPr>
          <w:sz w:val="22"/>
        </w:rPr>
        <w:t>minutes;</w:t>
      </w:r>
    </w:p>
    <w:p>
      <w:pPr>
        <w:pStyle w:val="ListParagraph"/>
        <w:numPr>
          <w:ilvl w:val="2"/>
          <w:numId w:val="1"/>
        </w:numPr>
        <w:tabs>
          <w:tab w:pos="1948" w:val="left" w:leader="none"/>
        </w:tabs>
        <w:spacing w:line="240" w:lineRule="auto" w:before="1" w:after="0"/>
        <w:ind w:left="1947" w:right="0" w:hanging="576"/>
        <w:jc w:val="both"/>
        <w:rPr>
          <w:sz w:val="22"/>
        </w:rPr>
      </w:pPr>
      <w:r>
        <w:rPr>
          <w:sz w:val="22"/>
        </w:rPr>
        <w:t>Monthly reporting must be completed according to 179 NAC 19-011.01;</w:t>
      </w:r>
      <w:r>
        <w:rPr>
          <w:spacing w:val="-7"/>
          <w:sz w:val="22"/>
        </w:rPr>
        <w:t> </w:t>
      </w:r>
      <w:r>
        <w:rPr>
          <w:sz w:val="22"/>
        </w:rPr>
        <w:t>and</w:t>
      </w:r>
    </w:p>
    <w:p>
      <w:pPr>
        <w:pStyle w:val="ListParagraph"/>
        <w:numPr>
          <w:ilvl w:val="2"/>
          <w:numId w:val="1"/>
        </w:numPr>
        <w:tabs>
          <w:tab w:pos="1948" w:val="left" w:leader="none"/>
        </w:tabs>
        <w:spacing w:line="240" w:lineRule="auto" w:before="0" w:after="0"/>
        <w:ind w:left="1947" w:right="0" w:hanging="576"/>
        <w:jc w:val="both"/>
        <w:rPr>
          <w:sz w:val="22"/>
        </w:rPr>
      </w:pPr>
      <w:r>
        <w:rPr>
          <w:sz w:val="22"/>
        </w:rPr>
        <w:t>Records must be maintained according to 179 NAC</w:t>
      </w:r>
      <w:r>
        <w:rPr>
          <w:spacing w:val="-3"/>
          <w:sz w:val="22"/>
        </w:rPr>
        <w:t> </w:t>
      </w:r>
      <w:r>
        <w:rPr>
          <w:sz w:val="22"/>
        </w:rPr>
        <w:t>19-011.02.</w:t>
      </w:r>
    </w:p>
    <w:p>
      <w:pPr>
        <w:pStyle w:val="BodyText"/>
      </w:pPr>
    </w:p>
    <w:p>
      <w:pPr>
        <w:pStyle w:val="BodyText"/>
        <w:ind w:left="796" w:right="218"/>
        <w:jc w:val="both"/>
      </w:pPr>
      <w:r>
        <w:rPr>
          <w:u w:val="single"/>
        </w:rPr>
        <w:t>19-010.02 Turbidity Monitoring Equipment Failure</w:t>
      </w:r>
      <w:r>
        <w:rPr/>
        <w:t>: If there is a failure in the continuous turbidity monitoring equipment, the system must conduct grab sampling every four hours in lieu of continuous monitoring until the turbidimeter is back on-line. The system has 14 days to resume continuous monitoring before a violation is</w:t>
      </w:r>
      <w:r>
        <w:rPr>
          <w:spacing w:val="-4"/>
        </w:rPr>
        <w:t> </w:t>
      </w:r>
      <w:r>
        <w:rPr/>
        <w:t>incurred.</w:t>
      </w:r>
    </w:p>
    <w:p>
      <w:pPr>
        <w:spacing w:after="0"/>
        <w:jc w:val="both"/>
        <w:sectPr>
          <w:pgSz w:w="12240" w:h="15840"/>
          <w:pgMar w:header="725" w:footer="745" w:top="1560" w:bottom="940" w:left="1220" w:right="1220"/>
        </w:sectPr>
      </w:pPr>
    </w:p>
    <w:p>
      <w:pPr>
        <w:pStyle w:val="BodyText"/>
        <w:spacing w:before="155"/>
        <w:ind w:left="796" w:right="217" w:hanging="1"/>
        <w:jc w:val="both"/>
      </w:pPr>
      <w:r>
        <w:rPr>
          <w:u w:val="single"/>
        </w:rPr>
        <w:t>19-010.03 One Or Two Filters</w:t>
      </w:r>
      <w:r>
        <w:rPr/>
        <w:t>: If a system consists of only one or two filters, the system may conduct continuous monitoring of combined filter effluent turbidity in lieu of individual filter effluent turbidity monitoring. Continuous monitoring must meet the same requirements set forth in 179 NAC 19-010.01 items 1 through 4 and</w:t>
      </w:r>
      <w:r>
        <w:rPr>
          <w:spacing w:val="-6"/>
        </w:rPr>
        <w:t> </w:t>
      </w:r>
      <w:r>
        <w:rPr/>
        <w:t>19-010.02.</w:t>
      </w:r>
    </w:p>
    <w:p>
      <w:pPr>
        <w:pStyle w:val="BodyText"/>
      </w:pPr>
    </w:p>
    <w:p>
      <w:pPr>
        <w:pStyle w:val="BodyText"/>
        <w:ind w:left="796"/>
        <w:jc w:val="both"/>
      </w:pPr>
      <w:r>
        <w:rPr>
          <w:u w:val="single"/>
        </w:rPr>
        <w:t>19-010.04</w:t>
      </w:r>
      <w:r>
        <w:rPr/>
        <w:t> Follow-up action is required according to the following tables:</w:t>
      </w:r>
    </w:p>
    <w:p>
      <w:pPr>
        <w:pStyle w:val="BodyText"/>
        <w:spacing w:before="2" w:after="1"/>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8"/>
        <w:gridCol w:w="5598"/>
      </w:tblGrid>
      <w:tr>
        <w:trPr>
          <w:trHeight w:val="252" w:hRule="atLeast"/>
        </w:trPr>
        <w:tc>
          <w:tcPr>
            <w:tcW w:w="3978" w:type="dxa"/>
          </w:tcPr>
          <w:p>
            <w:pPr>
              <w:pStyle w:val="TableParagraph"/>
              <w:spacing w:line="233" w:lineRule="exact"/>
              <w:rPr>
                <w:b/>
                <w:sz w:val="22"/>
              </w:rPr>
            </w:pPr>
            <w:r>
              <w:rPr>
                <w:b/>
                <w:sz w:val="22"/>
              </w:rPr>
              <w:t>If</w:t>
            </w:r>
          </w:p>
        </w:tc>
        <w:tc>
          <w:tcPr>
            <w:tcW w:w="5598" w:type="dxa"/>
          </w:tcPr>
          <w:p>
            <w:pPr>
              <w:pStyle w:val="TableParagraph"/>
              <w:spacing w:line="233" w:lineRule="exact"/>
              <w:rPr>
                <w:b/>
                <w:sz w:val="22"/>
              </w:rPr>
            </w:pPr>
            <w:r>
              <w:rPr>
                <w:b/>
                <w:sz w:val="22"/>
              </w:rPr>
              <w:t>Your System Must</w:t>
            </w:r>
          </w:p>
        </w:tc>
      </w:tr>
      <w:tr>
        <w:trPr>
          <w:trHeight w:val="1770" w:hRule="atLeast"/>
        </w:trPr>
        <w:tc>
          <w:tcPr>
            <w:tcW w:w="3978" w:type="dxa"/>
          </w:tcPr>
          <w:p>
            <w:pPr>
              <w:pStyle w:val="TableParagraph"/>
              <w:ind w:right="95"/>
              <w:jc w:val="both"/>
              <w:rPr>
                <w:sz w:val="22"/>
              </w:rPr>
            </w:pPr>
            <w:r>
              <w:rPr>
                <w:sz w:val="22"/>
              </w:rPr>
              <w:t>a. The turbidity of an individual filter (or the turbidity of combined filter effluent (CFE) for systems with </w:t>
            </w:r>
            <w:r>
              <w:rPr>
                <w:spacing w:val="-11"/>
                <w:sz w:val="22"/>
              </w:rPr>
              <w:t>2  </w:t>
            </w:r>
            <w:r>
              <w:rPr>
                <w:sz w:val="22"/>
              </w:rPr>
              <w:t>filters that monitor CFE in lieu of individual filters) exceeds 1.0 NTU in two consecutive recordings 15</w:t>
            </w:r>
          </w:p>
          <w:p>
            <w:pPr>
              <w:pStyle w:val="TableParagraph"/>
              <w:spacing w:line="234" w:lineRule="exact"/>
              <w:jc w:val="both"/>
              <w:rPr>
                <w:sz w:val="22"/>
              </w:rPr>
            </w:pPr>
            <w:r>
              <w:rPr>
                <w:sz w:val="22"/>
              </w:rPr>
              <w:t>minutes apart</w:t>
            </w:r>
          </w:p>
        </w:tc>
        <w:tc>
          <w:tcPr>
            <w:tcW w:w="5598" w:type="dxa"/>
          </w:tcPr>
          <w:p>
            <w:pPr>
              <w:pStyle w:val="TableParagraph"/>
              <w:ind w:right="95"/>
              <w:jc w:val="both"/>
              <w:rPr>
                <w:sz w:val="22"/>
              </w:rPr>
            </w:pPr>
            <w:r>
              <w:rPr>
                <w:sz w:val="22"/>
              </w:rPr>
              <w:t>Report to the Department by the 10</w:t>
            </w:r>
            <w:r>
              <w:rPr>
                <w:sz w:val="22"/>
                <w:vertAlign w:val="superscript"/>
              </w:rPr>
              <w:t>th</w:t>
            </w:r>
            <w:r>
              <w:rPr>
                <w:sz w:val="22"/>
                <w:vertAlign w:val="baseline"/>
              </w:rPr>
              <w:t> of the following month and include the filter number(s), corresponding date(s), turbidity value(s) which exceeded 1.0 NTU, and the cause (if known) for the</w:t>
            </w:r>
            <w:r>
              <w:rPr>
                <w:spacing w:val="-5"/>
                <w:sz w:val="22"/>
                <w:vertAlign w:val="baseline"/>
              </w:rPr>
              <w:t> </w:t>
            </w:r>
            <w:r>
              <w:rPr>
                <w:sz w:val="22"/>
                <w:vertAlign w:val="baseline"/>
              </w:rPr>
              <w:t>exceedance(s).</w:t>
            </w:r>
          </w:p>
        </w:tc>
      </w:tr>
      <w:tr>
        <w:trPr>
          <w:trHeight w:val="506" w:hRule="atLeast"/>
        </w:trPr>
        <w:tc>
          <w:tcPr>
            <w:tcW w:w="3978" w:type="dxa"/>
          </w:tcPr>
          <w:p>
            <w:pPr>
              <w:pStyle w:val="TableParagraph"/>
              <w:spacing w:line="254" w:lineRule="exact" w:before="3"/>
              <w:rPr>
                <w:b/>
                <w:sz w:val="22"/>
              </w:rPr>
            </w:pPr>
            <w:r>
              <w:rPr>
                <w:b/>
                <w:sz w:val="22"/>
              </w:rPr>
              <w:t>If a System Was Required to Report to the Director</w:t>
            </w:r>
          </w:p>
        </w:tc>
        <w:tc>
          <w:tcPr>
            <w:tcW w:w="5598" w:type="dxa"/>
          </w:tcPr>
          <w:p>
            <w:pPr>
              <w:pStyle w:val="TableParagraph"/>
              <w:rPr>
                <w:b/>
                <w:sz w:val="22"/>
              </w:rPr>
            </w:pPr>
            <w:r>
              <w:rPr>
                <w:b/>
                <w:sz w:val="22"/>
              </w:rPr>
              <w:t>Your System Must</w:t>
            </w:r>
          </w:p>
        </w:tc>
      </w:tr>
      <w:tr>
        <w:trPr>
          <w:trHeight w:val="3283" w:hRule="atLeast"/>
        </w:trPr>
        <w:tc>
          <w:tcPr>
            <w:tcW w:w="3978" w:type="dxa"/>
          </w:tcPr>
          <w:p>
            <w:pPr>
              <w:pStyle w:val="TableParagraph"/>
              <w:ind w:right="94"/>
              <w:jc w:val="both"/>
              <w:rPr>
                <w:sz w:val="22"/>
              </w:rPr>
            </w:pPr>
            <w:r>
              <w:rPr>
                <w:sz w:val="22"/>
              </w:rPr>
              <w:t>b. For three months in a row and turbidity exceeded 1.0 NTU in two consecutive recordings 15 minutes apart at the same filter (or CFE</w:t>
            </w:r>
            <w:r>
              <w:rPr>
                <w:spacing w:val="51"/>
                <w:sz w:val="22"/>
              </w:rPr>
              <w:t> </w:t>
            </w:r>
            <w:r>
              <w:rPr>
                <w:sz w:val="22"/>
              </w:rPr>
              <w:t>for systems with 2 filters that monitor CFE in lieu of individual filters)</w:t>
            </w:r>
          </w:p>
        </w:tc>
        <w:tc>
          <w:tcPr>
            <w:tcW w:w="5598" w:type="dxa"/>
          </w:tcPr>
          <w:p>
            <w:pPr>
              <w:pStyle w:val="TableParagraph"/>
              <w:ind w:right="94"/>
              <w:jc w:val="both"/>
              <w:rPr>
                <w:sz w:val="22"/>
              </w:rPr>
            </w:pPr>
            <w:r>
              <w:rPr>
                <w:sz w:val="22"/>
              </w:rPr>
              <w:t>Conduct a self-assessment of the filter(s) within 14 days of the day the filter exceeded 1.0 NTU in two consecutive measurements for the third straight month unless a CPE as specified in 17919-010.04 item c was required. Systems with two filters that monitor CFE in lieu of individual filters must conduct a self assessment on both filters. The self-assessment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w:t>
            </w:r>
          </w:p>
          <w:p>
            <w:pPr>
              <w:pStyle w:val="TableParagraph"/>
              <w:spacing w:line="234" w:lineRule="exact"/>
              <w:rPr>
                <w:sz w:val="22"/>
              </w:rPr>
            </w:pPr>
            <w:r>
              <w:rPr>
                <w:sz w:val="22"/>
              </w:rPr>
              <w:t>report.</w:t>
            </w:r>
          </w:p>
        </w:tc>
      </w:tr>
      <w:tr>
        <w:trPr>
          <w:trHeight w:val="3795" w:hRule="atLeast"/>
        </w:trPr>
        <w:tc>
          <w:tcPr>
            <w:tcW w:w="3978" w:type="dxa"/>
          </w:tcPr>
          <w:p>
            <w:pPr>
              <w:pStyle w:val="TableParagraph"/>
              <w:ind w:right="94"/>
              <w:jc w:val="both"/>
              <w:rPr>
                <w:sz w:val="22"/>
              </w:rPr>
            </w:pPr>
            <w:r>
              <w:rPr>
                <w:sz w:val="22"/>
              </w:rPr>
              <w:t>c. For two months in a row and turbidity exceeded 2.0 NTU in two consecutive recordings 15 minutes apart at the same filter (or CFE</w:t>
            </w:r>
            <w:r>
              <w:rPr>
                <w:spacing w:val="51"/>
                <w:sz w:val="22"/>
              </w:rPr>
              <w:t> </w:t>
            </w:r>
            <w:r>
              <w:rPr>
                <w:sz w:val="22"/>
              </w:rPr>
              <w:t>for systems with two filters that monitor CFE in lieu of individual filters)</w:t>
            </w:r>
          </w:p>
        </w:tc>
        <w:tc>
          <w:tcPr>
            <w:tcW w:w="5598" w:type="dxa"/>
          </w:tcPr>
          <w:p>
            <w:pPr>
              <w:pStyle w:val="TableParagraph"/>
              <w:ind w:right="95"/>
              <w:jc w:val="both"/>
              <w:rPr>
                <w:sz w:val="22"/>
              </w:rPr>
            </w:pPr>
            <w:r>
              <w:rPr>
                <w:sz w:val="22"/>
              </w:rPr>
              <w:t>Arrange to have a comprehensive performance evaluation (CPE) conducted by the Director or a third party approved by the Director not later than 60 days following the day the filter exceeded 2.0 NTU in two consecutive measurements for the second straight month. If a CPE has been completed by the Director  or a third party approved by the Director within the 12 prior months or the system and the Director are jointly participating in an ongoing Comprehensive Technical Assistance (CTA) project at the system, a new CPE is not required. If conducted, a CPE must be completed and submitted to the Department no later than 120 days following the day the filter exceeded 2.0 NTU in two consecutive measurements for the second</w:t>
            </w:r>
            <w:r>
              <w:rPr>
                <w:spacing w:val="51"/>
                <w:sz w:val="22"/>
              </w:rPr>
              <w:t> </w:t>
            </w:r>
            <w:r>
              <w:rPr>
                <w:sz w:val="22"/>
              </w:rPr>
              <w:t>straight</w:t>
            </w:r>
          </w:p>
          <w:p>
            <w:pPr>
              <w:pStyle w:val="TableParagraph"/>
              <w:spacing w:line="235" w:lineRule="exact"/>
              <w:rPr>
                <w:sz w:val="22"/>
              </w:rPr>
            </w:pPr>
            <w:r>
              <w:rPr>
                <w:sz w:val="22"/>
              </w:rPr>
              <w:t>month.</w:t>
            </w:r>
          </w:p>
        </w:tc>
      </w:tr>
    </w:tbl>
    <w:p>
      <w:pPr>
        <w:pStyle w:val="BodyText"/>
        <w:spacing w:before="9"/>
        <w:rPr>
          <w:sz w:val="21"/>
        </w:rPr>
      </w:pPr>
    </w:p>
    <w:p>
      <w:pPr>
        <w:pStyle w:val="BodyText"/>
        <w:ind w:left="796" w:right="219"/>
        <w:jc w:val="both"/>
      </w:pPr>
      <w:r>
        <w:rPr>
          <w:u w:val="single"/>
        </w:rPr>
        <w:t>19-010.05 Lime Softening</w:t>
      </w:r>
      <w:r>
        <w:rPr/>
        <w:t>:  Systems that utilize lime softening may apply to the Director for</w:t>
      </w:r>
      <w:r>
        <w:rPr>
          <w:spacing w:val="11"/>
        </w:rPr>
        <w:t> </w:t>
      </w:r>
      <w:r>
        <w:rPr/>
        <w:t>alternative</w:t>
      </w:r>
      <w:r>
        <w:rPr>
          <w:spacing w:val="12"/>
        </w:rPr>
        <w:t> </w:t>
      </w:r>
      <w:r>
        <w:rPr/>
        <w:t>turbidity</w:t>
      </w:r>
      <w:r>
        <w:rPr>
          <w:spacing w:val="12"/>
        </w:rPr>
        <w:t> </w:t>
      </w:r>
      <w:r>
        <w:rPr/>
        <w:t>exceedance</w:t>
      </w:r>
      <w:r>
        <w:rPr>
          <w:spacing w:val="12"/>
        </w:rPr>
        <w:t> </w:t>
      </w:r>
      <w:r>
        <w:rPr/>
        <w:t>levels</w:t>
      </w:r>
      <w:r>
        <w:rPr>
          <w:spacing w:val="12"/>
        </w:rPr>
        <w:t> </w:t>
      </w:r>
      <w:r>
        <w:rPr/>
        <w:t>for</w:t>
      </w:r>
      <w:r>
        <w:rPr>
          <w:spacing w:val="11"/>
        </w:rPr>
        <w:t> </w:t>
      </w:r>
      <w:r>
        <w:rPr/>
        <w:t>the</w:t>
      </w:r>
      <w:r>
        <w:rPr>
          <w:spacing w:val="12"/>
        </w:rPr>
        <w:t> </w:t>
      </w:r>
      <w:r>
        <w:rPr/>
        <w:t>levels</w:t>
      </w:r>
      <w:r>
        <w:rPr>
          <w:spacing w:val="12"/>
        </w:rPr>
        <w:t> </w:t>
      </w:r>
      <w:r>
        <w:rPr/>
        <w:t>specified</w:t>
      </w:r>
      <w:r>
        <w:rPr>
          <w:spacing w:val="11"/>
        </w:rPr>
        <w:t> </w:t>
      </w:r>
      <w:r>
        <w:rPr/>
        <w:t>in</w:t>
      </w:r>
      <w:r>
        <w:rPr>
          <w:spacing w:val="12"/>
        </w:rPr>
        <w:t> </w:t>
      </w:r>
      <w:r>
        <w:rPr/>
        <w:t>the</w:t>
      </w:r>
      <w:r>
        <w:rPr>
          <w:spacing w:val="11"/>
        </w:rPr>
        <w:t> </w:t>
      </w:r>
      <w:r>
        <w:rPr/>
        <w:t>table</w:t>
      </w:r>
      <w:r>
        <w:rPr>
          <w:spacing w:val="12"/>
        </w:rPr>
        <w:t> </w:t>
      </w:r>
      <w:r>
        <w:rPr/>
        <w:t>in</w:t>
      </w:r>
      <w:r>
        <w:rPr>
          <w:spacing w:val="13"/>
        </w:rPr>
        <w:t> </w:t>
      </w:r>
      <w:r>
        <w:rPr/>
        <w:t>179</w:t>
      </w:r>
      <w:r>
        <w:rPr>
          <w:spacing w:val="13"/>
        </w:rPr>
        <w:t> </w:t>
      </w:r>
      <w:r>
        <w:rPr/>
        <w:t>NAC</w:t>
      </w:r>
    </w:p>
    <w:p>
      <w:pPr>
        <w:spacing w:after="0"/>
        <w:jc w:val="both"/>
        <w:sectPr>
          <w:pgSz w:w="12240" w:h="15840"/>
          <w:pgMar w:header="725" w:footer="745" w:top="1560" w:bottom="940" w:left="1220" w:right="1220"/>
        </w:sectPr>
      </w:pPr>
    </w:p>
    <w:p>
      <w:pPr>
        <w:pStyle w:val="BodyText"/>
        <w:spacing w:before="155"/>
        <w:ind w:left="795"/>
      </w:pPr>
      <w:r>
        <w:rPr/>
        <w:t>19-010.04. The system must be able to demonstrate to the Director that higher turbidity levels are due to lime carryover only, and not due to degraded filter performance.</w:t>
      </w:r>
    </w:p>
    <w:p>
      <w:pPr>
        <w:pStyle w:val="BodyText"/>
      </w:pPr>
    </w:p>
    <w:p>
      <w:pPr>
        <w:pStyle w:val="ListParagraph"/>
        <w:numPr>
          <w:ilvl w:val="1"/>
          <w:numId w:val="1"/>
        </w:numPr>
        <w:tabs>
          <w:tab w:pos="1027" w:val="left" w:leader="none"/>
        </w:tabs>
        <w:spacing w:line="240" w:lineRule="auto" w:before="1" w:after="0"/>
        <w:ind w:left="1026" w:right="0" w:hanging="808"/>
        <w:jc w:val="left"/>
        <w:rPr>
          <w:sz w:val="22"/>
        </w:rPr>
      </w:pPr>
      <w:r>
        <w:rPr>
          <w:sz w:val="22"/>
          <w:u w:val="single"/>
        </w:rPr>
        <w:t>REPORTING AND RECORDKEEPING</w:t>
      </w:r>
      <w:r>
        <w:rPr>
          <w:spacing w:val="-1"/>
          <w:sz w:val="22"/>
          <w:u w:val="single"/>
        </w:rPr>
        <w:t> </w:t>
      </w:r>
      <w:r>
        <w:rPr>
          <w:sz w:val="22"/>
          <w:u w:val="single"/>
        </w:rPr>
        <w:t>REQUIREMENTS</w:t>
      </w:r>
    </w:p>
    <w:p>
      <w:pPr>
        <w:pStyle w:val="BodyText"/>
        <w:spacing w:before="10"/>
        <w:rPr>
          <w:sz w:val="13"/>
        </w:rPr>
      </w:pPr>
    </w:p>
    <w:p>
      <w:pPr>
        <w:pStyle w:val="BodyText"/>
        <w:spacing w:before="92"/>
        <w:ind w:left="796" w:right="216"/>
        <w:jc w:val="both"/>
      </w:pPr>
      <w:r>
        <w:rPr>
          <w:u w:val="single"/>
        </w:rPr>
        <w:t>19-011.01</w:t>
      </w:r>
      <w:r>
        <w:rPr/>
        <w:t> The following table lists the items that must be reported and the frequency of reporting. Systems subject to the specific requirement shown in the first column are required to report the information that follows.</w:t>
      </w:r>
    </w:p>
    <w:p>
      <w:pPr>
        <w:pStyle w:val="BodyText"/>
        <w:rPr>
          <w:sz w:val="20"/>
        </w:rPr>
      </w:pPr>
    </w:p>
    <w:p>
      <w:pPr>
        <w:pStyle w:val="BodyText"/>
        <w:spacing w:before="2" w:after="1"/>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8"/>
        <w:gridCol w:w="3420"/>
        <w:gridCol w:w="955"/>
        <w:gridCol w:w="552"/>
        <w:gridCol w:w="374"/>
        <w:gridCol w:w="497"/>
        <w:gridCol w:w="1060"/>
      </w:tblGrid>
      <w:tr>
        <w:trPr>
          <w:trHeight w:val="506" w:hRule="atLeast"/>
        </w:trPr>
        <w:tc>
          <w:tcPr>
            <w:tcW w:w="2718" w:type="dxa"/>
          </w:tcPr>
          <w:p>
            <w:pPr>
              <w:pStyle w:val="TableParagraph"/>
              <w:spacing w:line="254" w:lineRule="exact" w:before="3"/>
              <w:ind w:right="1004"/>
              <w:rPr>
                <w:b/>
                <w:sz w:val="22"/>
              </w:rPr>
            </w:pPr>
            <w:r>
              <w:rPr>
                <w:b/>
                <w:sz w:val="22"/>
              </w:rPr>
              <w:t>Corresponding Requirement</w:t>
            </w:r>
          </w:p>
        </w:tc>
        <w:tc>
          <w:tcPr>
            <w:tcW w:w="3420" w:type="dxa"/>
          </w:tcPr>
          <w:p>
            <w:pPr>
              <w:pStyle w:val="TableParagraph"/>
              <w:spacing w:line="254" w:lineRule="exact" w:before="3"/>
              <w:rPr>
                <w:b/>
                <w:sz w:val="22"/>
              </w:rPr>
            </w:pPr>
            <w:r>
              <w:rPr>
                <w:b/>
                <w:sz w:val="22"/>
              </w:rPr>
              <w:t>Description of Information to Report</w:t>
            </w:r>
          </w:p>
        </w:tc>
        <w:tc>
          <w:tcPr>
            <w:tcW w:w="3438" w:type="dxa"/>
            <w:gridSpan w:val="5"/>
          </w:tcPr>
          <w:p>
            <w:pPr>
              <w:pStyle w:val="TableParagraph"/>
              <w:rPr>
                <w:b/>
                <w:sz w:val="22"/>
              </w:rPr>
            </w:pPr>
            <w:r>
              <w:rPr>
                <w:b/>
                <w:sz w:val="22"/>
              </w:rPr>
              <w:t>Frequency</w:t>
            </w:r>
          </w:p>
        </w:tc>
      </w:tr>
      <w:tr>
        <w:trPr>
          <w:trHeight w:val="3536" w:hRule="atLeast"/>
        </w:trPr>
        <w:tc>
          <w:tcPr>
            <w:tcW w:w="2718" w:type="dxa"/>
          </w:tcPr>
          <w:p>
            <w:pPr>
              <w:pStyle w:val="TableParagraph"/>
              <w:ind w:right="96"/>
              <w:jc w:val="both"/>
              <w:rPr>
                <w:sz w:val="22"/>
              </w:rPr>
            </w:pPr>
            <w:r>
              <w:rPr>
                <w:sz w:val="22"/>
              </w:rPr>
              <w:t>a. Combined Filter Effluent Requirements (179 NAC 19-009.01 to 19-009.04)</w:t>
            </w:r>
          </w:p>
        </w:tc>
        <w:tc>
          <w:tcPr>
            <w:tcW w:w="3420" w:type="dxa"/>
          </w:tcPr>
          <w:p>
            <w:pPr>
              <w:pStyle w:val="TableParagraph"/>
              <w:numPr>
                <w:ilvl w:val="0"/>
                <w:numId w:val="5"/>
              </w:numPr>
              <w:tabs>
                <w:tab w:pos="503" w:val="left" w:leader="none"/>
              </w:tabs>
              <w:spacing w:line="240" w:lineRule="auto" w:before="0" w:after="0"/>
              <w:ind w:left="107" w:right="95" w:firstLine="0"/>
              <w:jc w:val="both"/>
              <w:rPr>
                <w:sz w:val="22"/>
              </w:rPr>
            </w:pPr>
            <w:r>
              <w:rPr>
                <w:sz w:val="22"/>
              </w:rPr>
              <w:t>The total number of filtered water turbidity measurements taken during the</w:t>
            </w:r>
            <w:r>
              <w:rPr>
                <w:spacing w:val="-1"/>
                <w:sz w:val="22"/>
              </w:rPr>
              <w:t> </w:t>
            </w:r>
            <w:r>
              <w:rPr>
                <w:sz w:val="22"/>
              </w:rPr>
              <w:t>month.</w:t>
            </w:r>
          </w:p>
          <w:p>
            <w:pPr>
              <w:pStyle w:val="TableParagraph"/>
              <w:numPr>
                <w:ilvl w:val="0"/>
                <w:numId w:val="5"/>
              </w:numPr>
              <w:tabs>
                <w:tab w:pos="462" w:val="left" w:leader="none"/>
              </w:tabs>
              <w:spacing w:line="240" w:lineRule="auto" w:before="0" w:after="0"/>
              <w:ind w:left="107" w:right="94" w:firstLine="0"/>
              <w:jc w:val="both"/>
              <w:rPr>
                <w:sz w:val="22"/>
              </w:rPr>
            </w:pPr>
            <w:r>
              <w:rPr>
                <w:sz w:val="22"/>
              </w:rPr>
              <w:t>The number and percentage of filtered water turbidity measurements taken during the month which are less than or equal to the system’s required 95</w:t>
            </w:r>
            <w:r>
              <w:rPr>
                <w:sz w:val="22"/>
                <w:vertAlign w:val="superscript"/>
              </w:rPr>
              <w:t>th</w:t>
            </w:r>
            <w:r>
              <w:rPr>
                <w:sz w:val="22"/>
                <w:vertAlign w:val="baseline"/>
              </w:rPr>
              <w:t> percentile</w:t>
            </w:r>
            <w:r>
              <w:rPr>
                <w:spacing w:val="-1"/>
                <w:sz w:val="22"/>
                <w:vertAlign w:val="baseline"/>
              </w:rPr>
              <w:t> </w:t>
            </w:r>
            <w:r>
              <w:rPr>
                <w:sz w:val="22"/>
                <w:vertAlign w:val="baseline"/>
              </w:rPr>
              <w:t>limit.</w:t>
            </w:r>
          </w:p>
          <w:p>
            <w:pPr>
              <w:pStyle w:val="TableParagraph"/>
              <w:numPr>
                <w:ilvl w:val="0"/>
                <w:numId w:val="5"/>
              </w:numPr>
              <w:tabs>
                <w:tab w:pos="515" w:val="left" w:leader="none"/>
              </w:tabs>
              <w:spacing w:line="240" w:lineRule="auto" w:before="0" w:after="0"/>
              <w:ind w:left="107" w:right="95" w:firstLine="0"/>
              <w:jc w:val="both"/>
              <w:rPr>
                <w:sz w:val="22"/>
              </w:rPr>
            </w:pPr>
            <w:r>
              <w:rPr>
                <w:sz w:val="22"/>
              </w:rPr>
              <w:t>The date and value of any turbidity measurements </w:t>
            </w:r>
            <w:r>
              <w:rPr>
                <w:spacing w:val="-3"/>
                <w:sz w:val="22"/>
              </w:rPr>
              <w:t>taken </w:t>
            </w:r>
            <w:r>
              <w:rPr>
                <w:sz w:val="22"/>
              </w:rPr>
              <w:t>during the month which exceed the</w:t>
            </w:r>
            <w:r>
              <w:rPr>
                <w:spacing w:val="35"/>
                <w:sz w:val="22"/>
              </w:rPr>
              <w:t> </w:t>
            </w:r>
            <w:r>
              <w:rPr>
                <w:sz w:val="22"/>
              </w:rPr>
              <w:t>maximum</w:t>
            </w:r>
            <w:r>
              <w:rPr>
                <w:spacing w:val="37"/>
                <w:sz w:val="22"/>
              </w:rPr>
              <w:t> </w:t>
            </w:r>
            <w:r>
              <w:rPr>
                <w:sz w:val="22"/>
              </w:rPr>
              <w:t>turbidity</w:t>
            </w:r>
            <w:r>
              <w:rPr>
                <w:spacing w:val="37"/>
                <w:sz w:val="22"/>
              </w:rPr>
              <w:t> </w:t>
            </w:r>
            <w:r>
              <w:rPr>
                <w:sz w:val="22"/>
              </w:rPr>
              <w:t>value</w:t>
            </w:r>
            <w:r>
              <w:rPr>
                <w:spacing w:val="37"/>
                <w:sz w:val="22"/>
              </w:rPr>
              <w:t> </w:t>
            </w:r>
            <w:r>
              <w:rPr>
                <w:spacing w:val="-5"/>
                <w:sz w:val="22"/>
              </w:rPr>
              <w:t>for</w:t>
            </w:r>
          </w:p>
          <w:p>
            <w:pPr>
              <w:pStyle w:val="TableParagraph"/>
              <w:spacing w:line="234" w:lineRule="exact"/>
              <w:jc w:val="both"/>
              <w:rPr>
                <w:sz w:val="22"/>
              </w:rPr>
            </w:pPr>
            <w:r>
              <w:rPr>
                <w:sz w:val="22"/>
              </w:rPr>
              <w:t>your filtration system.</w:t>
            </w:r>
          </w:p>
        </w:tc>
        <w:tc>
          <w:tcPr>
            <w:tcW w:w="955" w:type="dxa"/>
            <w:tcBorders>
              <w:right w:val="nil"/>
            </w:tcBorders>
          </w:tcPr>
          <w:p>
            <w:pPr>
              <w:pStyle w:val="TableParagraph"/>
              <w:rPr>
                <w:sz w:val="22"/>
              </w:rPr>
            </w:pPr>
            <w:r>
              <w:rPr>
                <w:sz w:val="22"/>
              </w:rPr>
              <w:t>By </w:t>
            </w:r>
            <w:r>
              <w:rPr>
                <w:spacing w:val="-6"/>
                <w:sz w:val="22"/>
              </w:rPr>
              <w:t>the </w:t>
            </w:r>
            <w:r>
              <w:rPr>
                <w:sz w:val="22"/>
              </w:rPr>
              <w:t>month.</w:t>
            </w:r>
          </w:p>
          <w:p>
            <w:pPr>
              <w:pStyle w:val="TableParagraph"/>
              <w:spacing w:before="5"/>
              <w:ind w:left="0"/>
              <w:rPr>
                <w:sz w:val="21"/>
              </w:rPr>
            </w:pPr>
          </w:p>
          <w:p>
            <w:pPr>
              <w:pStyle w:val="TableParagraph"/>
              <w:spacing w:before="1"/>
              <w:rPr>
                <w:sz w:val="22"/>
              </w:rPr>
            </w:pPr>
            <w:r>
              <w:rPr>
                <w:sz w:val="22"/>
              </w:rPr>
              <w:t>By </w:t>
            </w:r>
            <w:r>
              <w:rPr>
                <w:spacing w:val="-6"/>
                <w:sz w:val="22"/>
              </w:rPr>
              <w:t>the </w:t>
            </w:r>
            <w:r>
              <w:rPr>
                <w:sz w:val="22"/>
              </w:rPr>
              <w:t>month.</w:t>
            </w: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84"/>
              <w:rPr>
                <w:sz w:val="22"/>
              </w:rPr>
            </w:pPr>
            <w:r>
              <w:rPr>
                <w:sz w:val="22"/>
              </w:rPr>
              <w:t>By </w:t>
            </w:r>
            <w:r>
              <w:rPr>
                <w:spacing w:val="-6"/>
                <w:sz w:val="22"/>
              </w:rPr>
              <w:t>the </w:t>
            </w:r>
            <w:r>
              <w:rPr>
                <w:sz w:val="22"/>
              </w:rPr>
              <w:t>month.</w:t>
            </w:r>
          </w:p>
        </w:tc>
        <w:tc>
          <w:tcPr>
            <w:tcW w:w="552" w:type="dxa"/>
            <w:tcBorders>
              <w:left w:val="nil"/>
              <w:right w:val="nil"/>
            </w:tcBorders>
          </w:tcPr>
          <w:p>
            <w:pPr>
              <w:pStyle w:val="TableParagraph"/>
              <w:spacing w:line="115" w:lineRule="auto" w:before="23"/>
              <w:ind w:left="99"/>
              <w:rPr>
                <w:sz w:val="14"/>
              </w:rPr>
            </w:pPr>
            <w:r>
              <w:rPr>
                <w:position w:val="-9"/>
                <w:sz w:val="22"/>
              </w:rPr>
              <w:t>10</w:t>
            </w:r>
            <w:r>
              <w:rPr>
                <w:sz w:val="14"/>
              </w:rPr>
              <w:t>th</w:t>
            </w:r>
          </w:p>
          <w:p>
            <w:pPr>
              <w:pStyle w:val="TableParagraph"/>
              <w:ind w:left="0"/>
              <w:rPr>
                <w:sz w:val="26"/>
              </w:rPr>
            </w:pPr>
          </w:p>
          <w:p>
            <w:pPr>
              <w:pStyle w:val="TableParagraph"/>
              <w:spacing w:before="4"/>
              <w:ind w:left="0"/>
              <w:rPr>
                <w:sz w:val="22"/>
              </w:rPr>
            </w:pPr>
          </w:p>
          <w:p>
            <w:pPr>
              <w:pStyle w:val="TableParagraph"/>
              <w:spacing w:before="1"/>
              <w:ind w:left="99"/>
              <w:rPr>
                <w:sz w:val="14"/>
              </w:rPr>
            </w:pPr>
            <w:r>
              <w:rPr>
                <w:position w:val="-9"/>
                <w:sz w:val="22"/>
              </w:rPr>
              <w:t>10</w:t>
            </w:r>
            <w:r>
              <w:rPr>
                <w:sz w:val="14"/>
              </w:rPr>
              <w:t>th</w:t>
            </w: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9"/>
              <w:ind w:left="0"/>
              <w:rPr>
                <w:sz w:val="29"/>
              </w:rPr>
            </w:pPr>
          </w:p>
          <w:p>
            <w:pPr>
              <w:pStyle w:val="TableParagraph"/>
              <w:ind w:left="99"/>
              <w:rPr>
                <w:sz w:val="14"/>
              </w:rPr>
            </w:pPr>
            <w:r>
              <w:rPr>
                <w:position w:val="-9"/>
                <w:sz w:val="22"/>
              </w:rPr>
              <w:t>10</w:t>
            </w:r>
            <w:r>
              <w:rPr>
                <w:sz w:val="14"/>
              </w:rPr>
              <w:t>th</w:t>
            </w:r>
          </w:p>
        </w:tc>
        <w:tc>
          <w:tcPr>
            <w:tcW w:w="374" w:type="dxa"/>
            <w:tcBorders>
              <w:left w:val="nil"/>
              <w:right w:val="nil"/>
            </w:tcBorders>
          </w:tcPr>
          <w:p>
            <w:pPr>
              <w:pStyle w:val="TableParagraph"/>
              <w:spacing w:line="720" w:lineRule="auto"/>
              <w:ind w:left="99" w:right="71"/>
              <w:rPr>
                <w:sz w:val="22"/>
              </w:rPr>
            </w:pPr>
            <w:r>
              <w:rPr>
                <w:sz w:val="22"/>
              </w:rPr>
              <w:t>of of</w:t>
            </w:r>
          </w:p>
          <w:p>
            <w:pPr>
              <w:pStyle w:val="TableParagraph"/>
              <w:ind w:left="0"/>
              <w:rPr>
                <w:sz w:val="24"/>
              </w:rPr>
            </w:pPr>
          </w:p>
          <w:p>
            <w:pPr>
              <w:pStyle w:val="TableParagraph"/>
              <w:ind w:left="0"/>
              <w:rPr>
                <w:sz w:val="24"/>
              </w:rPr>
            </w:pPr>
          </w:p>
          <w:p>
            <w:pPr>
              <w:pStyle w:val="TableParagraph"/>
              <w:spacing w:before="201"/>
              <w:ind w:left="99"/>
              <w:rPr>
                <w:sz w:val="22"/>
              </w:rPr>
            </w:pPr>
            <w:r>
              <w:rPr>
                <w:sz w:val="22"/>
              </w:rPr>
              <w:t>of</w:t>
            </w:r>
          </w:p>
        </w:tc>
        <w:tc>
          <w:tcPr>
            <w:tcW w:w="497" w:type="dxa"/>
            <w:tcBorders>
              <w:left w:val="nil"/>
              <w:right w:val="nil"/>
            </w:tcBorders>
          </w:tcPr>
          <w:p>
            <w:pPr>
              <w:pStyle w:val="TableParagraph"/>
              <w:spacing w:line="720" w:lineRule="auto"/>
              <w:ind w:left="100" w:right="71"/>
              <w:rPr>
                <w:sz w:val="22"/>
              </w:rPr>
            </w:pPr>
            <w:r>
              <w:rPr>
                <w:sz w:val="22"/>
              </w:rPr>
              <w:t>the the</w:t>
            </w:r>
          </w:p>
          <w:p>
            <w:pPr>
              <w:pStyle w:val="TableParagraph"/>
              <w:ind w:left="0"/>
              <w:rPr>
                <w:sz w:val="24"/>
              </w:rPr>
            </w:pPr>
          </w:p>
          <w:p>
            <w:pPr>
              <w:pStyle w:val="TableParagraph"/>
              <w:ind w:left="0"/>
              <w:rPr>
                <w:sz w:val="24"/>
              </w:rPr>
            </w:pPr>
          </w:p>
          <w:p>
            <w:pPr>
              <w:pStyle w:val="TableParagraph"/>
              <w:spacing w:before="201"/>
              <w:ind w:left="100"/>
              <w:rPr>
                <w:sz w:val="22"/>
              </w:rPr>
            </w:pPr>
            <w:r>
              <w:rPr>
                <w:sz w:val="22"/>
              </w:rPr>
              <w:t>the</w:t>
            </w:r>
          </w:p>
        </w:tc>
        <w:tc>
          <w:tcPr>
            <w:tcW w:w="1060" w:type="dxa"/>
            <w:tcBorders>
              <w:left w:val="nil"/>
            </w:tcBorders>
          </w:tcPr>
          <w:p>
            <w:pPr>
              <w:pStyle w:val="TableParagraph"/>
              <w:spacing w:line="720" w:lineRule="auto"/>
              <w:ind w:left="100" w:right="78"/>
              <w:rPr>
                <w:sz w:val="22"/>
              </w:rPr>
            </w:pPr>
            <w:r>
              <w:rPr>
                <w:sz w:val="22"/>
              </w:rPr>
              <w:t>following following</w:t>
            </w:r>
          </w:p>
          <w:p>
            <w:pPr>
              <w:pStyle w:val="TableParagraph"/>
              <w:ind w:left="0"/>
              <w:rPr>
                <w:sz w:val="24"/>
              </w:rPr>
            </w:pPr>
          </w:p>
          <w:p>
            <w:pPr>
              <w:pStyle w:val="TableParagraph"/>
              <w:ind w:left="0"/>
              <w:rPr>
                <w:sz w:val="24"/>
              </w:rPr>
            </w:pPr>
          </w:p>
          <w:p>
            <w:pPr>
              <w:pStyle w:val="TableParagraph"/>
              <w:spacing w:before="201"/>
              <w:ind w:left="100"/>
              <w:rPr>
                <w:sz w:val="22"/>
              </w:rPr>
            </w:pPr>
            <w:r>
              <w:rPr>
                <w:sz w:val="22"/>
              </w:rPr>
              <w:t>following</w:t>
            </w:r>
          </w:p>
        </w:tc>
      </w:tr>
      <w:tr>
        <w:trPr>
          <w:trHeight w:val="5818" w:hRule="atLeast"/>
        </w:trPr>
        <w:tc>
          <w:tcPr>
            <w:tcW w:w="2718" w:type="dxa"/>
          </w:tcPr>
          <w:p>
            <w:pPr>
              <w:pStyle w:val="TableParagraph"/>
              <w:ind w:right="94"/>
              <w:jc w:val="both"/>
              <w:rPr>
                <w:sz w:val="22"/>
              </w:rPr>
            </w:pPr>
            <w:r>
              <w:rPr>
                <w:sz w:val="22"/>
              </w:rPr>
              <w:t>b. Individual Turbidity Requirements (179 NAC 19-010.01 to 19-010.05)</w:t>
            </w:r>
          </w:p>
        </w:tc>
        <w:tc>
          <w:tcPr>
            <w:tcW w:w="3420" w:type="dxa"/>
          </w:tcPr>
          <w:p>
            <w:pPr>
              <w:pStyle w:val="TableParagraph"/>
              <w:numPr>
                <w:ilvl w:val="0"/>
                <w:numId w:val="6"/>
              </w:numPr>
              <w:tabs>
                <w:tab w:pos="515" w:val="left" w:leader="none"/>
              </w:tabs>
              <w:spacing w:line="240" w:lineRule="auto" w:before="0" w:after="0"/>
              <w:ind w:left="107" w:right="95" w:firstLine="0"/>
              <w:jc w:val="both"/>
              <w:rPr>
                <w:sz w:val="22"/>
              </w:rPr>
            </w:pPr>
            <w:r>
              <w:rPr>
                <w:sz w:val="22"/>
              </w:rPr>
              <w:t>That the system conducted individual filter </w:t>
            </w:r>
            <w:r>
              <w:rPr>
                <w:spacing w:val="-3"/>
                <w:sz w:val="22"/>
              </w:rPr>
              <w:t>turbidity </w:t>
            </w:r>
            <w:r>
              <w:rPr>
                <w:sz w:val="22"/>
              </w:rPr>
              <w:t>monitoring during the</w:t>
            </w:r>
            <w:r>
              <w:rPr>
                <w:spacing w:val="-2"/>
                <w:sz w:val="22"/>
              </w:rPr>
              <w:t> </w:t>
            </w:r>
            <w:r>
              <w:rPr>
                <w:sz w:val="22"/>
              </w:rPr>
              <w:t>month.</w:t>
            </w:r>
          </w:p>
          <w:p>
            <w:pPr>
              <w:pStyle w:val="TableParagraph"/>
              <w:numPr>
                <w:ilvl w:val="0"/>
                <w:numId w:val="6"/>
              </w:numPr>
              <w:tabs>
                <w:tab w:pos="873" w:val="left" w:leader="none"/>
              </w:tabs>
              <w:spacing w:line="240" w:lineRule="auto" w:before="0" w:after="0"/>
              <w:ind w:left="107" w:right="95" w:firstLine="0"/>
              <w:jc w:val="both"/>
              <w:rPr>
                <w:sz w:val="22"/>
              </w:rPr>
            </w:pPr>
            <w:r>
              <w:rPr>
                <w:sz w:val="22"/>
              </w:rPr>
              <w:t>The filter number(s), corresponding date(s), and the turbidity value(s) </w:t>
            </w:r>
            <w:r>
              <w:rPr>
                <w:spacing w:val="-3"/>
                <w:sz w:val="22"/>
              </w:rPr>
              <w:t>which </w:t>
            </w:r>
            <w:r>
              <w:rPr>
                <w:sz w:val="22"/>
              </w:rPr>
              <w:t>exceeded 1.0 NTU during the month, and the cause (if known) for the exceedence(s), but only if two consecutive measurements exceeded 1.0</w:t>
            </w:r>
            <w:r>
              <w:rPr>
                <w:spacing w:val="-1"/>
                <w:sz w:val="22"/>
              </w:rPr>
              <w:t> </w:t>
            </w:r>
            <w:r>
              <w:rPr>
                <w:sz w:val="22"/>
              </w:rPr>
              <w:t>NTU.</w:t>
            </w:r>
          </w:p>
          <w:p>
            <w:pPr>
              <w:pStyle w:val="TableParagraph"/>
              <w:numPr>
                <w:ilvl w:val="0"/>
                <w:numId w:val="6"/>
              </w:numPr>
              <w:tabs>
                <w:tab w:pos="702" w:val="left" w:leader="none"/>
              </w:tabs>
              <w:spacing w:line="240" w:lineRule="auto" w:before="0" w:after="0"/>
              <w:ind w:left="107" w:right="94" w:firstLine="0"/>
              <w:jc w:val="both"/>
              <w:rPr>
                <w:sz w:val="22"/>
              </w:rPr>
            </w:pPr>
            <w:r>
              <w:rPr>
                <w:sz w:val="22"/>
              </w:rPr>
              <w:t>If a self-assessment </w:t>
            </w:r>
            <w:r>
              <w:rPr>
                <w:spacing w:val="-6"/>
                <w:sz w:val="22"/>
              </w:rPr>
              <w:t>is </w:t>
            </w:r>
            <w:r>
              <w:rPr>
                <w:sz w:val="22"/>
              </w:rPr>
              <w:t>required, the date that it was triggered and the date that it  was</w:t>
            </w:r>
            <w:r>
              <w:rPr>
                <w:spacing w:val="-1"/>
                <w:sz w:val="22"/>
              </w:rPr>
              <w:t> </w:t>
            </w:r>
            <w:r>
              <w:rPr>
                <w:sz w:val="22"/>
              </w:rPr>
              <w:t>completed.</w:t>
            </w:r>
          </w:p>
          <w:p>
            <w:pPr>
              <w:pStyle w:val="TableParagraph"/>
              <w:ind w:left="0"/>
              <w:rPr>
                <w:sz w:val="24"/>
              </w:rPr>
            </w:pPr>
          </w:p>
          <w:p>
            <w:pPr>
              <w:pStyle w:val="TableParagraph"/>
              <w:spacing w:before="10"/>
              <w:ind w:left="0"/>
              <w:rPr>
                <w:sz w:val="19"/>
              </w:rPr>
            </w:pPr>
          </w:p>
          <w:p>
            <w:pPr>
              <w:pStyle w:val="TableParagraph"/>
              <w:numPr>
                <w:ilvl w:val="0"/>
                <w:numId w:val="6"/>
              </w:numPr>
              <w:tabs>
                <w:tab w:pos="447" w:val="left" w:leader="none"/>
              </w:tabs>
              <w:spacing w:line="240" w:lineRule="auto" w:before="0" w:after="0"/>
              <w:ind w:left="107" w:right="96" w:firstLine="0"/>
              <w:jc w:val="both"/>
              <w:rPr>
                <w:sz w:val="22"/>
              </w:rPr>
            </w:pPr>
            <w:r>
              <w:rPr>
                <w:sz w:val="22"/>
              </w:rPr>
              <w:t>If a CPE is required, that </w:t>
            </w:r>
            <w:r>
              <w:rPr>
                <w:spacing w:val="-4"/>
                <w:sz w:val="22"/>
              </w:rPr>
              <w:t>the </w:t>
            </w:r>
            <w:r>
              <w:rPr>
                <w:sz w:val="22"/>
              </w:rPr>
              <w:t>CPE is required and the date that it was</w:t>
            </w:r>
            <w:r>
              <w:rPr>
                <w:spacing w:val="-1"/>
                <w:sz w:val="22"/>
              </w:rPr>
              <w:t> </w:t>
            </w:r>
            <w:r>
              <w:rPr>
                <w:sz w:val="22"/>
              </w:rPr>
              <w:t>triggered</w:t>
            </w:r>
          </w:p>
          <w:p>
            <w:pPr>
              <w:pStyle w:val="TableParagraph"/>
              <w:numPr>
                <w:ilvl w:val="0"/>
                <w:numId w:val="6"/>
              </w:numPr>
              <w:tabs>
                <w:tab w:pos="635" w:val="left" w:leader="none"/>
              </w:tabs>
              <w:spacing w:line="240" w:lineRule="auto" w:before="0" w:after="0"/>
              <w:ind w:left="107" w:right="96" w:firstLine="0"/>
              <w:jc w:val="both"/>
              <w:rPr>
                <w:sz w:val="22"/>
              </w:rPr>
            </w:pPr>
            <w:r>
              <w:rPr>
                <w:sz w:val="22"/>
              </w:rPr>
              <w:t>Copy of completed </w:t>
            </w:r>
            <w:r>
              <w:rPr>
                <w:spacing w:val="-5"/>
                <w:sz w:val="22"/>
              </w:rPr>
              <w:t>CPE </w:t>
            </w:r>
            <w:r>
              <w:rPr>
                <w:sz w:val="22"/>
              </w:rPr>
              <w:t>report</w:t>
            </w:r>
          </w:p>
        </w:tc>
        <w:tc>
          <w:tcPr>
            <w:tcW w:w="3438" w:type="dxa"/>
            <w:gridSpan w:val="5"/>
          </w:tcPr>
          <w:p>
            <w:pPr>
              <w:pStyle w:val="TableParagraph"/>
              <w:ind w:right="95" w:hanging="1"/>
              <w:jc w:val="both"/>
              <w:rPr>
                <w:sz w:val="22"/>
              </w:rPr>
            </w:pPr>
            <w:r>
              <w:rPr>
                <w:sz w:val="22"/>
              </w:rPr>
              <w:t>By the 10</w:t>
            </w:r>
            <w:r>
              <w:rPr>
                <w:sz w:val="22"/>
                <w:vertAlign w:val="superscript"/>
              </w:rPr>
              <w:t>th</w:t>
            </w:r>
            <w:r>
              <w:rPr>
                <w:sz w:val="22"/>
                <w:vertAlign w:val="baseline"/>
              </w:rPr>
              <w:t> of the following month.</w:t>
            </w:r>
          </w:p>
          <w:p>
            <w:pPr>
              <w:pStyle w:val="TableParagraph"/>
              <w:spacing w:before="9"/>
              <w:ind w:left="0"/>
              <w:rPr>
                <w:sz w:val="21"/>
              </w:rPr>
            </w:pPr>
          </w:p>
          <w:p>
            <w:pPr>
              <w:pStyle w:val="TableParagraph"/>
              <w:ind w:right="95"/>
              <w:jc w:val="both"/>
              <w:rPr>
                <w:sz w:val="22"/>
              </w:rPr>
            </w:pPr>
            <w:r>
              <w:rPr>
                <w:sz w:val="22"/>
              </w:rPr>
              <w:t>By the 10</w:t>
            </w:r>
            <w:r>
              <w:rPr>
                <w:sz w:val="22"/>
                <w:vertAlign w:val="superscript"/>
              </w:rPr>
              <w:t>th</w:t>
            </w:r>
            <w:r>
              <w:rPr>
                <w:sz w:val="22"/>
                <w:vertAlign w:val="baseline"/>
              </w:rPr>
              <w:t> of the following month.</w:t>
            </w: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39"/>
              <w:ind w:right="94"/>
              <w:jc w:val="both"/>
              <w:rPr>
                <w:sz w:val="22"/>
              </w:rPr>
            </w:pPr>
            <w:r>
              <w:rPr>
                <w:sz w:val="22"/>
              </w:rPr>
              <w:t>By the 10</w:t>
            </w:r>
            <w:r>
              <w:rPr>
                <w:sz w:val="22"/>
                <w:vertAlign w:val="superscript"/>
              </w:rPr>
              <w:t>th</w:t>
            </w:r>
            <w:r>
              <w:rPr>
                <w:sz w:val="22"/>
                <w:vertAlign w:val="baseline"/>
              </w:rPr>
              <w:t> of the following month (or 14 days after the </w:t>
            </w:r>
            <w:r>
              <w:rPr>
                <w:spacing w:val="-3"/>
                <w:sz w:val="22"/>
                <w:vertAlign w:val="baseline"/>
              </w:rPr>
              <w:t>self- </w:t>
            </w:r>
            <w:r>
              <w:rPr>
                <w:sz w:val="22"/>
                <w:vertAlign w:val="baseline"/>
              </w:rPr>
              <w:t>assessment was triggered only if the self-assessment </w:t>
            </w:r>
            <w:r>
              <w:rPr>
                <w:spacing w:val="-4"/>
                <w:sz w:val="22"/>
                <w:vertAlign w:val="baseline"/>
              </w:rPr>
              <w:t>was </w:t>
            </w:r>
            <w:r>
              <w:rPr>
                <w:sz w:val="22"/>
                <w:vertAlign w:val="baseline"/>
              </w:rPr>
              <w:t>triggered during the last four days of the</w:t>
            </w:r>
            <w:r>
              <w:rPr>
                <w:spacing w:val="-1"/>
                <w:sz w:val="22"/>
                <w:vertAlign w:val="baseline"/>
              </w:rPr>
              <w:t> </w:t>
            </w:r>
            <w:r>
              <w:rPr>
                <w:sz w:val="22"/>
                <w:vertAlign w:val="baseline"/>
              </w:rPr>
              <w:t>month).</w:t>
            </w:r>
          </w:p>
          <w:p>
            <w:pPr>
              <w:pStyle w:val="TableParagraph"/>
              <w:ind w:right="95"/>
              <w:jc w:val="both"/>
              <w:rPr>
                <w:sz w:val="22"/>
              </w:rPr>
            </w:pPr>
            <w:r>
              <w:rPr>
                <w:sz w:val="22"/>
              </w:rPr>
              <w:t>By the 10</w:t>
            </w:r>
            <w:r>
              <w:rPr>
                <w:sz w:val="22"/>
                <w:vertAlign w:val="superscript"/>
              </w:rPr>
              <w:t>th</w:t>
            </w:r>
            <w:r>
              <w:rPr>
                <w:sz w:val="22"/>
                <w:vertAlign w:val="baseline"/>
              </w:rPr>
              <w:t> of the following month.</w:t>
            </w:r>
          </w:p>
          <w:p>
            <w:pPr>
              <w:pStyle w:val="TableParagraph"/>
              <w:spacing w:before="11"/>
              <w:ind w:left="0"/>
              <w:rPr>
                <w:sz w:val="21"/>
              </w:rPr>
            </w:pPr>
          </w:p>
          <w:p>
            <w:pPr>
              <w:pStyle w:val="TableParagraph"/>
              <w:ind w:right="95"/>
              <w:jc w:val="both"/>
              <w:rPr>
                <w:sz w:val="22"/>
              </w:rPr>
            </w:pPr>
            <w:r>
              <w:rPr>
                <w:sz w:val="22"/>
              </w:rPr>
              <w:t>Within 120 days after the CPE was triggered.</w:t>
            </w:r>
          </w:p>
        </w:tc>
      </w:tr>
    </w:tbl>
    <w:p>
      <w:pPr>
        <w:spacing w:after="0"/>
        <w:jc w:val="both"/>
        <w:rPr>
          <w:sz w:val="22"/>
        </w:rPr>
        <w:sectPr>
          <w:pgSz w:w="12240" w:h="15840"/>
          <w:pgMar w:header="725" w:footer="745" w:top="1560" w:bottom="940" w:left="1220" w:right="1220"/>
        </w:sectPr>
      </w:pPr>
    </w:p>
    <w:p>
      <w:pPr>
        <w:pStyle w:val="BodyText"/>
        <w:spacing w:before="8"/>
        <w:rPr>
          <w:sz w:val="1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18"/>
        <w:gridCol w:w="3420"/>
        <w:gridCol w:w="3438"/>
      </w:tblGrid>
      <w:tr>
        <w:trPr>
          <w:trHeight w:val="1770" w:hRule="atLeast"/>
        </w:trPr>
        <w:tc>
          <w:tcPr>
            <w:tcW w:w="2718" w:type="dxa"/>
          </w:tcPr>
          <w:p>
            <w:pPr>
              <w:pStyle w:val="TableParagraph"/>
              <w:ind w:right="96"/>
              <w:jc w:val="both"/>
              <w:rPr>
                <w:sz w:val="22"/>
              </w:rPr>
            </w:pPr>
            <w:r>
              <w:rPr>
                <w:sz w:val="22"/>
              </w:rPr>
              <w:t>c. Disinfection Profiling (179 NAC 19-007.01 to 19-007.07)</w:t>
            </w:r>
          </w:p>
        </w:tc>
        <w:tc>
          <w:tcPr>
            <w:tcW w:w="3420" w:type="dxa"/>
          </w:tcPr>
          <w:p>
            <w:pPr>
              <w:pStyle w:val="TableParagraph"/>
              <w:ind w:right="95"/>
              <w:jc w:val="both"/>
              <w:rPr>
                <w:sz w:val="22"/>
              </w:rPr>
            </w:pPr>
            <w:r>
              <w:rPr>
                <w:sz w:val="22"/>
              </w:rPr>
              <w:t>1. Results of optional monitoring which show TTHM levels &lt;0.064 mg/L and HAA5 levels </w:t>
            </w:r>
            <w:r>
              <w:rPr>
                <w:spacing w:val="-3"/>
                <w:sz w:val="22"/>
              </w:rPr>
              <w:t>&lt;0.048 </w:t>
            </w:r>
            <w:r>
              <w:rPr>
                <w:sz w:val="22"/>
              </w:rPr>
              <w:t>mg/L (Only if your </w:t>
            </w:r>
            <w:r>
              <w:rPr>
                <w:spacing w:val="-3"/>
                <w:sz w:val="22"/>
              </w:rPr>
              <w:t>system  </w:t>
            </w:r>
            <w:r>
              <w:rPr>
                <w:sz w:val="22"/>
              </w:rPr>
              <w:t>wishes</w:t>
            </w:r>
            <w:r>
              <w:rPr>
                <w:spacing w:val="25"/>
                <w:sz w:val="22"/>
              </w:rPr>
              <w:t> </w:t>
            </w:r>
            <w:r>
              <w:rPr>
                <w:sz w:val="22"/>
              </w:rPr>
              <w:t>to</w:t>
            </w:r>
            <w:r>
              <w:rPr>
                <w:spacing w:val="25"/>
                <w:sz w:val="22"/>
              </w:rPr>
              <w:t> </w:t>
            </w:r>
            <w:r>
              <w:rPr>
                <w:sz w:val="22"/>
              </w:rPr>
              <w:t>forgo</w:t>
            </w:r>
            <w:r>
              <w:rPr>
                <w:spacing w:val="25"/>
                <w:sz w:val="22"/>
              </w:rPr>
              <w:t> </w:t>
            </w:r>
            <w:r>
              <w:rPr>
                <w:sz w:val="22"/>
              </w:rPr>
              <w:t>profiling)</w:t>
            </w:r>
            <w:r>
              <w:rPr>
                <w:spacing w:val="25"/>
                <w:sz w:val="22"/>
              </w:rPr>
              <w:t> </w:t>
            </w:r>
            <w:r>
              <w:rPr>
                <w:sz w:val="22"/>
              </w:rPr>
              <w:t>or</w:t>
            </w:r>
            <w:r>
              <w:rPr>
                <w:spacing w:val="26"/>
                <w:sz w:val="22"/>
              </w:rPr>
              <w:t> </w:t>
            </w:r>
            <w:r>
              <w:rPr>
                <w:sz w:val="22"/>
              </w:rPr>
              <w:t>that</w:t>
            </w:r>
          </w:p>
          <w:p>
            <w:pPr>
              <w:pStyle w:val="TableParagraph"/>
              <w:spacing w:line="254" w:lineRule="exact" w:before="1"/>
              <w:ind w:right="96"/>
              <w:jc w:val="both"/>
              <w:rPr>
                <w:sz w:val="22"/>
              </w:rPr>
            </w:pPr>
            <w:r>
              <w:rPr>
                <w:sz w:val="22"/>
              </w:rPr>
              <w:t>your system has begun disinfection profiling.</w:t>
            </w:r>
          </w:p>
        </w:tc>
        <w:tc>
          <w:tcPr>
            <w:tcW w:w="3438" w:type="dxa"/>
          </w:tcPr>
          <w:p>
            <w:pPr>
              <w:pStyle w:val="TableParagraph"/>
              <w:numPr>
                <w:ilvl w:val="0"/>
                <w:numId w:val="7"/>
              </w:numPr>
              <w:tabs>
                <w:tab w:pos="533" w:val="left" w:leader="none"/>
                <w:tab w:pos="534" w:val="left" w:leader="none"/>
              </w:tabs>
              <w:spacing w:line="240" w:lineRule="auto" w:before="0" w:after="0"/>
              <w:ind w:left="107" w:right="96" w:firstLine="0"/>
              <w:jc w:val="left"/>
              <w:rPr>
                <w:sz w:val="22"/>
              </w:rPr>
            </w:pPr>
            <w:r>
              <w:rPr>
                <w:sz w:val="22"/>
              </w:rPr>
              <w:t>For systems serving 500 </w:t>
            </w:r>
            <w:r>
              <w:rPr>
                <w:spacing w:val="-14"/>
                <w:sz w:val="22"/>
              </w:rPr>
              <w:t>– </w:t>
            </w:r>
            <w:r>
              <w:rPr>
                <w:sz w:val="22"/>
              </w:rPr>
              <w:t>9,999 by July 1,</w:t>
            </w:r>
            <w:r>
              <w:rPr>
                <w:spacing w:val="-1"/>
                <w:sz w:val="22"/>
              </w:rPr>
              <w:t> </w:t>
            </w:r>
            <w:r>
              <w:rPr>
                <w:sz w:val="22"/>
              </w:rPr>
              <w:t>2003;</w:t>
            </w:r>
          </w:p>
          <w:p>
            <w:pPr>
              <w:pStyle w:val="TableParagraph"/>
              <w:numPr>
                <w:ilvl w:val="0"/>
                <w:numId w:val="7"/>
              </w:numPr>
              <w:tabs>
                <w:tab w:pos="590" w:val="left" w:leader="none"/>
                <w:tab w:pos="591" w:val="left" w:leader="none"/>
              </w:tabs>
              <w:spacing w:line="240" w:lineRule="auto" w:before="0" w:after="0"/>
              <w:ind w:left="107" w:right="95" w:firstLine="0"/>
              <w:jc w:val="left"/>
              <w:rPr>
                <w:sz w:val="22"/>
              </w:rPr>
            </w:pPr>
            <w:r>
              <w:rPr>
                <w:sz w:val="22"/>
              </w:rPr>
              <w:t>For systems serving fewer than 500 by January 1,</w:t>
            </w:r>
            <w:r>
              <w:rPr>
                <w:spacing w:val="-3"/>
                <w:sz w:val="22"/>
              </w:rPr>
              <w:t> </w:t>
            </w:r>
            <w:r>
              <w:rPr>
                <w:sz w:val="22"/>
              </w:rPr>
              <w:t>2004.</w:t>
            </w:r>
          </w:p>
        </w:tc>
      </w:tr>
      <w:tr>
        <w:trPr>
          <w:trHeight w:val="2274" w:hRule="atLeast"/>
        </w:trPr>
        <w:tc>
          <w:tcPr>
            <w:tcW w:w="2718" w:type="dxa"/>
          </w:tcPr>
          <w:p>
            <w:pPr>
              <w:pStyle w:val="TableParagraph"/>
              <w:ind w:right="165"/>
              <w:rPr>
                <w:sz w:val="22"/>
              </w:rPr>
            </w:pPr>
            <w:r>
              <w:rPr>
                <w:sz w:val="22"/>
              </w:rPr>
              <w:t>d. Disinfection Benchmarking (179 NAC 19-008.01 to 19-008.05)</w:t>
            </w:r>
          </w:p>
        </w:tc>
        <w:tc>
          <w:tcPr>
            <w:tcW w:w="3420" w:type="dxa"/>
          </w:tcPr>
          <w:p>
            <w:pPr>
              <w:pStyle w:val="TableParagraph"/>
              <w:ind w:right="94"/>
              <w:jc w:val="both"/>
              <w:rPr>
                <w:sz w:val="22"/>
              </w:rPr>
            </w:pPr>
            <w:r>
              <w:rPr>
                <w:sz w:val="22"/>
              </w:rPr>
              <w:t>1. A description of the proposed change in disinfection, your system’s disinfection profile for </w:t>
            </w:r>
            <w:r>
              <w:rPr>
                <w:i/>
                <w:sz w:val="22"/>
              </w:rPr>
              <w:t>Giardia lamblia </w:t>
            </w:r>
            <w:r>
              <w:rPr>
                <w:sz w:val="22"/>
              </w:rPr>
              <w:t>(and, if necessary, viruses) and disinfection benchmark, and an analysis of how the proposed</w:t>
            </w:r>
          </w:p>
          <w:p>
            <w:pPr>
              <w:pStyle w:val="TableParagraph"/>
              <w:spacing w:line="250" w:lineRule="atLeast"/>
              <w:ind w:right="94"/>
              <w:jc w:val="both"/>
              <w:rPr>
                <w:sz w:val="22"/>
              </w:rPr>
            </w:pPr>
            <w:r>
              <w:rPr>
                <w:sz w:val="22"/>
              </w:rPr>
              <w:t>change will affect the current levels of disinfection.</w:t>
            </w:r>
          </w:p>
        </w:tc>
        <w:tc>
          <w:tcPr>
            <w:tcW w:w="3438" w:type="dxa"/>
          </w:tcPr>
          <w:p>
            <w:pPr>
              <w:pStyle w:val="TableParagraph"/>
              <w:ind w:right="96"/>
              <w:jc w:val="both"/>
              <w:rPr>
                <w:sz w:val="22"/>
              </w:rPr>
            </w:pPr>
            <w:r>
              <w:rPr>
                <w:sz w:val="22"/>
              </w:rPr>
              <w:t>Any time your system is considering a significant change to its disinfection practice.</w:t>
            </w:r>
          </w:p>
        </w:tc>
      </w:tr>
    </w:tbl>
    <w:p>
      <w:pPr>
        <w:pStyle w:val="BodyText"/>
        <w:spacing w:before="8"/>
        <w:rPr>
          <w:sz w:val="13"/>
        </w:rPr>
      </w:pPr>
    </w:p>
    <w:p>
      <w:pPr>
        <w:pStyle w:val="BodyText"/>
        <w:spacing w:before="93"/>
        <w:ind w:left="796" w:right="218"/>
        <w:jc w:val="both"/>
      </w:pPr>
      <w:r>
        <w:rPr>
          <w:u w:val="single"/>
        </w:rPr>
        <w:t>19-011.02 Required Recordkeeping</w:t>
      </w:r>
      <w:r>
        <w:rPr/>
        <w:t>: Systems must keep several types of records based on the requirements of 179 NAC 19, in addition to recordkeeping requirements under 179 NAC 13-008. The following table describes the necessary records, the length of time these records must be kept, and the requirement for which the records pertain. Systems are required to maintain records described in this table, if the system is subject to the specific requirement shown in the first</w:t>
      </w:r>
      <w:r>
        <w:rPr>
          <w:spacing w:val="-1"/>
        </w:rPr>
        <w:t> </w:t>
      </w:r>
      <w:r>
        <w:rPr/>
        <w:t>column.</w:t>
      </w:r>
    </w:p>
    <w:p>
      <w:pPr>
        <w:pStyle w:val="BodyText"/>
        <w:spacing w:before="3"/>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92"/>
        <w:gridCol w:w="3936"/>
        <w:gridCol w:w="2448"/>
      </w:tblGrid>
      <w:tr>
        <w:trPr>
          <w:trHeight w:val="759" w:hRule="atLeast"/>
        </w:trPr>
        <w:tc>
          <w:tcPr>
            <w:tcW w:w="3192" w:type="dxa"/>
          </w:tcPr>
          <w:p>
            <w:pPr>
              <w:pStyle w:val="TableParagraph"/>
              <w:spacing w:before="126"/>
              <w:ind w:left="923" w:right="779" w:hanging="117"/>
              <w:rPr>
                <w:b/>
                <w:sz w:val="22"/>
              </w:rPr>
            </w:pPr>
            <w:r>
              <w:rPr>
                <w:b/>
                <w:sz w:val="22"/>
              </w:rPr>
              <w:t>Corresponding Requirement</w:t>
            </w:r>
          </w:p>
        </w:tc>
        <w:tc>
          <w:tcPr>
            <w:tcW w:w="3936" w:type="dxa"/>
          </w:tcPr>
          <w:p>
            <w:pPr>
              <w:pStyle w:val="TableParagraph"/>
              <w:ind w:left="0"/>
              <w:rPr>
                <w:sz w:val="22"/>
              </w:rPr>
            </w:pPr>
          </w:p>
          <w:p>
            <w:pPr>
              <w:pStyle w:val="TableParagraph"/>
              <w:ind w:left="177"/>
              <w:rPr>
                <w:b/>
                <w:sz w:val="22"/>
              </w:rPr>
            </w:pPr>
            <w:r>
              <w:rPr>
                <w:b/>
                <w:sz w:val="22"/>
              </w:rPr>
              <w:t>Description of Necessary Records</w:t>
            </w:r>
          </w:p>
        </w:tc>
        <w:tc>
          <w:tcPr>
            <w:tcW w:w="2448" w:type="dxa"/>
          </w:tcPr>
          <w:p>
            <w:pPr>
              <w:pStyle w:val="TableParagraph"/>
              <w:ind w:left="324" w:right="314" w:firstLine="1"/>
              <w:jc w:val="center"/>
              <w:rPr>
                <w:b/>
                <w:sz w:val="22"/>
              </w:rPr>
            </w:pPr>
            <w:r>
              <w:rPr>
                <w:b/>
                <w:sz w:val="22"/>
              </w:rPr>
              <w:t>Duration of Time Records Must Be</w:t>
            </w:r>
          </w:p>
          <w:p>
            <w:pPr>
              <w:pStyle w:val="TableParagraph"/>
              <w:spacing w:line="233" w:lineRule="exact"/>
              <w:ind w:left="958" w:right="950"/>
              <w:jc w:val="center"/>
              <w:rPr>
                <w:b/>
                <w:sz w:val="22"/>
              </w:rPr>
            </w:pPr>
            <w:r>
              <w:rPr>
                <w:b/>
                <w:sz w:val="22"/>
              </w:rPr>
              <w:t>Kept</w:t>
            </w:r>
          </w:p>
        </w:tc>
      </w:tr>
      <w:tr>
        <w:trPr>
          <w:trHeight w:val="757" w:hRule="atLeast"/>
        </w:trPr>
        <w:tc>
          <w:tcPr>
            <w:tcW w:w="3192" w:type="dxa"/>
          </w:tcPr>
          <w:p>
            <w:pPr>
              <w:pStyle w:val="TableParagraph"/>
              <w:spacing w:line="254" w:lineRule="exact"/>
              <w:ind w:right="94"/>
              <w:jc w:val="both"/>
              <w:rPr>
                <w:sz w:val="22"/>
              </w:rPr>
            </w:pPr>
            <w:r>
              <w:rPr>
                <w:sz w:val="22"/>
              </w:rPr>
              <w:t>a. Individual Filter Turbidity Requirements (179 NAC 19- 010.01 to 19-010.05)</w:t>
            </w:r>
          </w:p>
        </w:tc>
        <w:tc>
          <w:tcPr>
            <w:tcW w:w="3936" w:type="dxa"/>
          </w:tcPr>
          <w:p>
            <w:pPr>
              <w:pStyle w:val="TableParagraph"/>
              <w:spacing w:line="250" w:lineRule="exact"/>
              <w:rPr>
                <w:sz w:val="22"/>
              </w:rPr>
            </w:pPr>
            <w:r>
              <w:rPr>
                <w:sz w:val="22"/>
              </w:rPr>
              <w:t>Results of individual filter monitoring</w:t>
            </w:r>
          </w:p>
        </w:tc>
        <w:tc>
          <w:tcPr>
            <w:tcW w:w="2448" w:type="dxa"/>
          </w:tcPr>
          <w:p>
            <w:pPr>
              <w:pStyle w:val="TableParagraph"/>
              <w:spacing w:line="250" w:lineRule="exact"/>
              <w:ind w:left="108"/>
              <w:rPr>
                <w:sz w:val="22"/>
              </w:rPr>
            </w:pPr>
            <w:r>
              <w:rPr>
                <w:sz w:val="22"/>
              </w:rPr>
              <w:t>At least 3 years</w:t>
            </w:r>
          </w:p>
        </w:tc>
      </w:tr>
      <w:tr>
        <w:trPr>
          <w:trHeight w:val="501" w:hRule="atLeast"/>
        </w:trPr>
        <w:tc>
          <w:tcPr>
            <w:tcW w:w="3192" w:type="dxa"/>
          </w:tcPr>
          <w:p>
            <w:pPr>
              <w:pStyle w:val="TableParagraph"/>
              <w:tabs>
                <w:tab w:pos="500" w:val="left" w:leader="none"/>
              </w:tabs>
              <w:spacing w:line="248" w:lineRule="exact"/>
              <w:rPr>
                <w:sz w:val="22"/>
              </w:rPr>
            </w:pPr>
            <w:r>
              <w:rPr>
                <w:sz w:val="22"/>
              </w:rPr>
              <w:t>b.</w:t>
              <w:tab/>
              <w:t>Disinfection Profiling</w:t>
            </w:r>
            <w:r>
              <w:rPr>
                <w:spacing w:val="22"/>
                <w:sz w:val="22"/>
              </w:rPr>
              <w:t> </w:t>
            </w:r>
            <w:r>
              <w:rPr>
                <w:sz w:val="22"/>
              </w:rPr>
              <w:t>(179</w:t>
            </w:r>
          </w:p>
          <w:p>
            <w:pPr>
              <w:pStyle w:val="TableParagraph"/>
              <w:spacing w:line="234" w:lineRule="exact"/>
              <w:rPr>
                <w:sz w:val="22"/>
              </w:rPr>
            </w:pPr>
            <w:r>
              <w:rPr>
                <w:sz w:val="22"/>
              </w:rPr>
              <w:t>NAC 19-007.01 to 19-007.07)</w:t>
            </w:r>
          </w:p>
        </w:tc>
        <w:tc>
          <w:tcPr>
            <w:tcW w:w="3936" w:type="dxa"/>
          </w:tcPr>
          <w:p>
            <w:pPr>
              <w:pStyle w:val="TableParagraph"/>
              <w:spacing w:line="248" w:lineRule="exact"/>
              <w:rPr>
                <w:sz w:val="22"/>
              </w:rPr>
            </w:pPr>
            <w:r>
              <w:rPr>
                <w:sz w:val="22"/>
              </w:rPr>
              <w:t>Results of profile (including raw data</w:t>
            </w:r>
          </w:p>
          <w:p>
            <w:pPr>
              <w:pStyle w:val="TableParagraph"/>
              <w:spacing w:line="234" w:lineRule="exact"/>
              <w:rPr>
                <w:sz w:val="22"/>
              </w:rPr>
            </w:pPr>
            <w:r>
              <w:rPr>
                <w:sz w:val="22"/>
              </w:rPr>
              <w:t>and analysis)</w:t>
            </w:r>
          </w:p>
        </w:tc>
        <w:tc>
          <w:tcPr>
            <w:tcW w:w="2448" w:type="dxa"/>
          </w:tcPr>
          <w:p>
            <w:pPr>
              <w:pStyle w:val="TableParagraph"/>
              <w:spacing w:line="248" w:lineRule="exact"/>
              <w:rPr>
                <w:sz w:val="22"/>
              </w:rPr>
            </w:pPr>
            <w:r>
              <w:rPr>
                <w:sz w:val="22"/>
              </w:rPr>
              <w:t>Indefinitely</w:t>
            </w:r>
          </w:p>
        </w:tc>
      </w:tr>
      <w:tr>
        <w:trPr>
          <w:trHeight w:val="759" w:hRule="atLeast"/>
        </w:trPr>
        <w:tc>
          <w:tcPr>
            <w:tcW w:w="3192" w:type="dxa"/>
          </w:tcPr>
          <w:p>
            <w:pPr>
              <w:pStyle w:val="TableParagraph"/>
              <w:spacing w:line="254" w:lineRule="exact" w:before="1"/>
              <w:ind w:right="96"/>
              <w:jc w:val="both"/>
              <w:rPr>
                <w:sz w:val="22"/>
              </w:rPr>
            </w:pPr>
            <w:r>
              <w:rPr>
                <w:sz w:val="22"/>
              </w:rPr>
              <w:t>c. Disinfection Benchmarking (179 NAC 19-008.01 to 19- 008.05)</w:t>
            </w:r>
          </w:p>
        </w:tc>
        <w:tc>
          <w:tcPr>
            <w:tcW w:w="3936" w:type="dxa"/>
          </w:tcPr>
          <w:p>
            <w:pPr>
              <w:pStyle w:val="TableParagraph"/>
              <w:rPr>
                <w:sz w:val="22"/>
              </w:rPr>
            </w:pPr>
            <w:r>
              <w:rPr>
                <w:sz w:val="22"/>
              </w:rPr>
              <w:t>Benchmark (including raw data and analysis)</w:t>
            </w:r>
          </w:p>
        </w:tc>
        <w:tc>
          <w:tcPr>
            <w:tcW w:w="2448" w:type="dxa"/>
          </w:tcPr>
          <w:p>
            <w:pPr>
              <w:pStyle w:val="TableParagraph"/>
              <w:spacing w:line="252" w:lineRule="exact"/>
              <w:rPr>
                <w:sz w:val="22"/>
              </w:rPr>
            </w:pPr>
            <w:r>
              <w:rPr>
                <w:sz w:val="22"/>
              </w:rPr>
              <w:t>Indefinitely</w:t>
            </w:r>
          </w:p>
        </w:tc>
      </w:tr>
    </w:tbl>
    <w:sectPr>
      <w:pgSz w:w="12240" w:h="15840"/>
      <w:pgMar w:header="725" w:footer="745" w:top="1560" w:bottom="94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878906pt;margin-top:743.740234pt;width:18.25pt;height:14.3pt;mso-position-horizontal-relative:page;mso-position-vertical-relative:page;z-index:-252169216" type="#_x0000_t202" filled="false" stroked="false">
          <v:textbox inset="0,0,0,0">
            <w:txbxContent>
              <w:p>
                <w:pPr>
                  <w:pStyle w:val="BodyText"/>
                  <w:spacing w:before="12"/>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998901pt;margin-top:35.260098pt;width:110.75pt;height:26.95pt;mso-position-horizontal-relative:page;mso-position-vertical-relative:page;z-index:-252172288" type="#_x0000_t202" filled="false" stroked="false">
          <v:textbox inset="0,0,0,0">
            <w:txbxContent>
              <w:p>
                <w:pPr>
                  <w:pStyle w:val="BodyText"/>
                  <w:spacing w:before="12"/>
                  <w:ind w:left="20" w:right="-2"/>
                </w:pPr>
                <w:r>
                  <w:rPr/>
                  <w:t>EFFECTIVE DATE NOVEMBER 13, 2005</w:t>
                </w:r>
              </w:p>
            </w:txbxContent>
          </v:textbox>
          <w10:wrap type="none"/>
        </v:shape>
      </w:pict>
    </w:r>
    <w:r>
      <w:rPr/>
      <w:pict>
        <v:shape style="position:absolute;margin-left:197.481918pt;margin-top:35.260098pt;width:236.65pt;height:26.95pt;mso-position-horizontal-relative:page;mso-position-vertical-relative:page;z-index:-252171264" type="#_x0000_t202" filled="false" stroked="false">
          <v:textbox inset="0,0,0,0">
            <w:txbxContent>
              <w:p>
                <w:pPr>
                  <w:pStyle w:val="BodyText"/>
                  <w:spacing w:before="12"/>
                  <w:ind w:left="631" w:right="-1" w:hanging="612"/>
                </w:pPr>
                <w:r>
                  <w:rPr/>
                  <w:t>NEBRASKA HEALTH AND HUMAN SERVICES REGULATION AND LICENSURE</w:t>
                </w:r>
              </w:p>
            </w:txbxContent>
          </v:textbox>
          <w10:wrap type="none"/>
        </v:shape>
      </w:pict>
    </w:r>
    <w:r>
      <w:rPr/>
      <w:pict>
        <v:shape style="position:absolute;margin-left:443.041199pt;margin-top:47.920036pt;width:61.9pt;height:14.3pt;mso-position-horizontal-relative:page;mso-position-vertical-relative:page;z-index:-252170240" type="#_x0000_t202" filled="false" stroked="false">
          <v:textbox inset="0,0,0,0">
            <w:txbxContent>
              <w:p>
                <w:pPr>
                  <w:pStyle w:val="BodyText"/>
                  <w:spacing w:before="12"/>
                  <w:ind w:left="20"/>
                </w:pPr>
                <w:r>
                  <w:rPr/>
                  <w:t>179 NAC 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Roman"/>
      <w:lvlText w:val="(%1)"/>
      <w:lvlJc w:val="left"/>
      <w:pPr>
        <w:ind w:left="107" w:hanging="427"/>
        <w:jc w:val="left"/>
      </w:pPr>
      <w:rPr>
        <w:rFonts w:hint="default" w:ascii="Arial" w:hAnsi="Arial" w:eastAsia="Arial" w:cs="Arial"/>
        <w:w w:val="99"/>
        <w:sz w:val="22"/>
        <w:szCs w:val="22"/>
      </w:rPr>
    </w:lvl>
    <w:lvl w:ilvl="1">
      <w:start w:val="0"/>
      <w:numFmt w:val="bullet"/>
      <w:lvlText w:val="•"/>
      <w:lvlJc w:val="left"/>
      <w:pPr>
        <w:ind w:left="432" w:hanging="427"/>
      </w:pPr>
      <w:rPr>
        <w:rFonts w:hint="default"/>
      </w:rPr>
    </w:lvl>
    <w:lvl w:ilvl="2">
      <w:start w:val="0"/>
      <w:numFmt w:val="bullet"/>
      <w:lvlText w:val="•"/>
      <w:lvlJc w:val="left"/>
      <w:pPr>
        <w:ind w:left="765" w:hanging="427"/>
      </w:pPr>
      <w:rPr>
        <w:rFonts w:hint="default"/>
      </w:rPr>
    </w:lvl>
    <w:lvl w:ilvl="3">
      <w:start w:val="0"/>
      <w:numFmt w:val="bullet"/>
      <w:lvlText w:val="•"/>
      <w:lvlJc w:val="left"/>
      <w:pPr>
        <w:ind w:left="1098" w:hanging="427"/>
      </w:pPr>
      <w:rPr>
        <w:rFonts w:hint="default"/>
      </w:rPr>
    </w:lvl>
    <w:lvl w:ilvl="4">
      <w:start w:val="0"/>
      <w:numFmt w:val="bullet"/>
      <w:lvlText w:val="•"/>
      <w:lvlJc w:val="left"/>
      <w:pPr>
        <w:ind w:left="1431" w:hanging="427"/>
      </w:pPr>
      <w:rPr>
        <w:rFonts w:hint="default"/>
      </w:rPr>
    </w:lvl>
    <w:lvl w:ilvl="5">
      <w:start w:val="0"/>
      <w:numFmt w:val="bullet"/>
      <w:lvlText w:val="•"/>
      <w:lvlJc w:val="left"/>
      <w:pPr>
        <w:ind w:left="1764" w:hanging="427"/>
      </w:pPr>
      <w:rPr>
        <w:rFonts w:hint="default"/>
      </w:rPr>
    </w:lvl>
    <w:lvl w:ilvl="6">
      <w:start w:val="0"/>
      <w:numFmt w:val="bullet"/>
      <w:lvlText w:val="•"/>
      <w:lvlJc w:val="left"/>
      <w:pPr>
        <w:ind w:left="2096" w:hanging="427"/>
      </w:pPr>
      <w:rPr>
        <w:rFonts w:hint="default"/>
      </w:rPr>
    </w:lvl>
    <w:lvl w:ilvl="7">
      <w:start w:val="0"/>
      <w:numFmt w:val="bullet"/>
      <w:lvlText w:val="•"/>
      <w:lvlJc w:val="left"/>
      <w:pPr>
        <w:ind w:left="2429" w:hanging="427"/>
      </w:pPr>
      <w:rPr>
        <w:rFonts w:hint="default"/>
      </w:rPr>
    </w:lvl>
    <w:lvl w:ilvl="8">
      <w:start w:val="0"/>
      <w:numFmt w:val="bullet"/>
      <w:lvlText w:val="•"/>
      <w:lvlJc w:val="left"/>
      <w:pPr>
        <w:ind w:left="2762" w:hanging="427"/>
      </w:pPr>
      <w:rPr>
        <w:rFonts w:hint="default"/>
      </w:rPr>
    </w:lvl>
  </w:abstractNum>
  <w:abstractNum w:abstractNumId="5">
    <w:multiLevelType w:val="hybridMultilevel"/>
    <w:lvl w:ilvl="0">
      <w:start w:val="1"/>
      <w:numFmt w:val="decimal"/>
      <w:lvlText w:val="%1."/>
      <w:lvlJc w:val="left"/>
      <w:pPr>
        <w:ind w:left="107" w:hanging="407"/>
        <w:jc w:val="left"/>
      </w:pPr>
      <w:rPr>
        <w:rFonts w:hint="default" w:ascii="Arial" w:hAnsi="Arial" w:eastAsia="Arial" w:cs="Arial"/>
        <w:w w:val="99"/>
        <w:sz w:val="22"/>
        <w:szCs w:val="22"/>
      </w:rPr>
    </w:lvl>
    <w:lvl w:ilvl="1">
      <w:start w:val="0"/>
      <w:numFmt w:val="bullet"/>
      <w:lvlText w:val="•"/>
      <w:lvlJc w:val="left"/>
      <w:pPr>
        <w:ind w:left="431" w:hanging="407"/>
      </w:pPr>
      <w:rPr>
        <w:rFonts w:hint="default"/>
      </w:rPr>
    </w:lvl>
    <w:lvl w:ilvl="2">
      <w:start w:val="0"/>
      <w:numFmt w:val="bullet"/>
      <w:lvlText w:val="•"/>
      <w:lvlJc w:val="left"/>
      <w:pPr>
        <w:ind w:left="762" w:hanging="407"/>
      </w:pPr>
      <w:rPr>
        <w:rFonts w:hint="default"/>
      </w:rPr>
    </w:lvl>
    <w:lvl w:ilvl="3">
      <w:start w:val="0"/>
      <w:numFmt w:val="bullet"/>
      <w:lvlText w:val="•"/>
      <w:lvlJc w:val="left"/>
      <w:pPr>
        <w:ind w:left="1093" w:hanging="407"/>
      </w:pPr>
      <w:rPr>
        <w:rFonts w:hint="default"/>
      </w:rPr>
    </w:lvl>
    <w:lvl w:ilvl="4">
      <w:start w:val="0"/>
      <w:numFmt w:val="bullet"/>
      <w:lvlText w:val="•"/>
      <w:lvlJc w:val="left"/>
      <w:pPr>
        <w:ind w:left="1424" w:hanging="407"/>
      </w:pPr>
      <w:rPr>
        <w:rFonts w:hint="default"/>
      </w:rPr>
    </w:lvl>
    <w:lvl w:ilvl="5">
      <w:start w:val="0"/>
      <w:numFmt w:val="bullet"/>
      <w:lvlText w:val="•"/>
      <w:lvlJc w:val="left"/>
      <w:pPr>
        <w:ind w:left="1755" w:hanging="407"/>
      </w:pPr>
      <w:rPr>
        <w:rFonts w:hint="default"/>
      </w:rPr>
    </w:lvl>
    <w:lvl w:ilvl="6">
      <w:start w:val="0"/>
      <w:numFmt w:val="bullet"/>
      <w:lvlText w:val="•"/>
      <w:lvlJc w:val="left"/>
      <w:pPr>
        <w:ind w:left="2086" w:hanging="407"/>
      </w:pPr>
      <w:rPr>
        <w:rFonts w:hint="default"/>
      </w:rPr>
    </w:lvl>
    <w:lvl w:ilvl="7">
      <w:start w:val="0"/>
      <w:numFmt w:val="bullet"/>
      <w:lvlText w:val="•"/>
      <w:lvlJc w:val="left"/>
      <w:pPr>
        <w:ind w:left="2417" w:hanging="407"/>
      </w:pPr>
      <w:rPr>
        <w:rFonts w:hint="default"/>
      </w:rPr>
    </w:lvl>
    <w:lvl w:ilvl="8">
      <w:start w:val="0"/>
      <w:numFmt w:val="bullet"/>
      <w:lvlText w:val="•"/>
      <w:lvlJc w:val="left"/>
      <w:pPr>
        <w:ind w:left="2748" w:hanging="407"/>
      </w:pPr>
      <w:rPr>
        <w:rFonts w:hint="default"/>
      </w:rPr>
    </w:lvl>
  </w:abstractNum>
  <w:abstractNum w:abstractNumId="4">
    <w:multiLevelType w:val="hybridMultilevel"/>
    <w:lvl w:ilvl="0">
      <w:start w:val="1"/>
      <w:numFmt w:val="decimal"/>
      <w:lvlText w:val="%1."/>
      <w:lvlJc w:val="left"/>
      <w:pPr>
        <w:ind w:left="107" w:hanging="395"/>
        <w:jc w:val="left"/>
      </w:pPr>
      <w:rPr>
        <w:rFonts w:hint="default" w:ascii="Arial" w:hAnsi="Arial" w:eastAsia="Arial" w:cs="Arial"/>
        <w:w w:val="99"/>
        <w:sz w:val="22"/>
        <w:szCs w:val="22"/>
      </w:rPr>
    </w:lvl>
    <w:lvl w:ilvl="1">
      <w:start w:val="0"/>
      <w:numFmt w:val="bullet"/>
      <w:lvlText w:val="•"/>
      <w:lvlJc w:val="left"/>
      <w:pPr>
        <w:ind w:left="431" w:hanging="395"/>
      </w:pPr>
      <w:rPr>
        <w:rFonts w:hint="default"/>
      </w:rPr>
    </w:lvl>
    <w:lvl w:ilvl="2">
      <w:start w:val="0"/>
      <w:numFmt w:val="bullet"/>
      <w:lvlText w:val="•"/>
      <w:lvlJc w:val="left"/>
      <w:pPr>
        <w:ind w:left="762" w:hanging="395"/>
      </w:pPr>
      <w:rPr>
        <w:rFonts w:hint="default"/>
      </w:rPr>
    </w:lvl>
    <w:lvl w:ilvl="3">
      <w:start w:val="0"/>
      <w:numFmt w:val="bullet"/>
      <w:lvlText w:val="•"/>
      <w:lvlJc w:val="left"/>
      <w:pPr>
        <w:ind w:left="1093" w:hanging="395"/>
      </w:pPr>
      <w:rPr>
        <w:rFonts w:hint="default"/>
      </w:rPr>
    </w:lvl>
    <w:lvl w:ilvl="4">
      <w:start w:val="0"/>
      <w:numFmt w:val="bullet"/>
      <w:lvlText w:val="•"/>
      <w:lvlJc w:val="left"/>
      <w:pPr>
        <w:ind w:left="1424" w:hanging="395"/>
      </w:pPr>
      <w:rPr>
        <w:rFonts w:hint="default"/>
      </w:rPr>
    </w:lvl>
    <w:lvl w:ilvl="5">
      <w:start w:val="0"/>
      <w:numFmt w:val="bullet"/>
      <w:lvlText w:val="•"/>
      <w:lvlJc w:val="left"/>
      <w:pPr>
        <w:ind w:left="1755" w:hanging="395"/>
      </w:pPr>
      <w:rPr>
        <w:rFonts w:hint="default"/>
      </w:rPr>
    </w:lvl>
    <w:lvl w:ilvl="6">
      <w:start w:val="0"/>
      <w:numFmt w:val="bullet"/>
      <w:lvlText w:val="•"/>
      <w:lvlJc w:val="left"/>
      <w:pPr>
        <w:ind w:left="2086" w:hanging="395"/>
      </w:pPr>
      <w:rPr>
        <w:rFonts w:hint="default"/>
      </w:rPr>
    </w:lvl>
    <w:lvl w:ilvl="7">
      <w:start w:val="0"/>
      <w:numFmt w:val="bullet"/>
      <w:lvlText w:val="•"/>
      <w:lvlJc w:val="left"/>
      <w:pPr>
        <w:ind w:left="2417" w:hanging="395"/>
      </w:pPr>
      <w:rPr>
        <w:rFonts w:hint="default"/>
      </w:rPr>
    </w:lvl>
    <w:lvl w:ilvl="8">
      <w:start w:val="0"/>
      <w:numFmt w:val="bullet"/>
      <w:lvlText w:val="•"/>
      <w:lvlJc w:val="left"/>
      <w:pPr>
        <w:ind w:left="2748" w:hanging="395"/>
      </w:pPr>
      <w:rPr>
        <w:rFonts w:hint="default"/>
      </w:rPr>
    </w:lvl>
  </w:abstractNum>
  <w:abstractNum w:abstractNumId="3">
    <w:multiLevelType w:val="hybridMultilevel"/>
    <w:lvl w:ilvl="0">
      <w:start w:val="1"/>
      <w:numFmt w:val="decimal"/>
      <w:lvlText w:val="%1."/>
      <w:lvlJc w:val="left"/>
      <w:pPr>
        <w:ind w:left="1947" w:hanging="576"/>
        <w:jc w:val="left"/>
      </w:pPr>
      <w:rPr>
        <w:rFonts w:hint="default" w:ascii="Arial" w:hAnsi="Arial" w:eastAsia="Arial" w:cs="Arial"/>
        <w:w w:val="99"/>
        <w:sz w:val="22"/>
        <w:szCs w:val="22"/>
      </w:rPr>
    </w:lvl>
    <w:lvl w:ilvl="1">
      <w:start w:val="0"/>
      <w:numFmt w:val="bullet"/>
      <w:lvlText w:val="•"/>
      <w:lvlJc w:val="left"/>
      <w:pPr>
        <w:ind w:left="2726" w:hanging="576"/>
      </w:pPr>
      <w:rPr>
        <w:rFonts w:hint="default"/>
      </w:rPr>
    </w:lvl>
    <w:lvl w:ilvl="2">
      <w:start w:val="0"/>
      <w:numFmt w:val="bullet"/>
      <w:lvlText w:val="•"/>
      <w:lvlJc w:val="left"/>
      <w:pPr>
        <w:ind w:left="3512" w:hanging="576"/>
      </w:pPr>
      <w:rPr>
        <w:rFonts w:hint="default"/>
      </w:rPr>
    </w:lvl>
    <w:lvl w:ilvl="3">
      <w:start w:val="0"/>
      <w:numFmt w:val="bullet"/>
      <w:lvlText w:val="•"/>
      <w:lvlJc w:val="left"/>
      <w:pPr>
        <w:ind w:left="4298" w:hanging="576"/>
      </w:pPr>
      <w:rPr>
        <w:rFonts w:hint="default"/>
      </w:rPr>
    </w:lvl>
    <w:lvl w:ilvl="4">
      <w:start w:val="0"/>
      <w:numFmt w:val="bullet"/>
      <w:lvlText w:val="•"/>
      <w:lvlJc w:val="left"/>
      <w:pPr>
        <w:ind w:left="5084" w:hanging="576"/>
      </w:pPr>
      <w:rPr>
        <w:rFonts w:hint="default"/>
      </w:rPr>
    </w:lvl>
    <w:lvl w:ilvl="5">
      <w:start w:val="0"/>
      <w:numFmt w:val="bullet"/>
      <w:lvlText w:val="•"/>
      <w:lvlJc w:val="left"/>
      <w:pPr>
        <w:ind w:left="5870" w:hanging="576"/>
      </w:pPr>
      <w:rPr>
        <w:rFonts w:hint="default"/>
      </w:rPr>
    </w:lvl>
    <w:lvl w:ilvl="6">
      <w:start w:val="0"/>
      <w:numFmt w:val="bullet"/>
      <w:lvlText w:val="•"/>
      <w:lvlJc w:val="left"/>
      <w:pPr>
        <w:ind w:left="6656" w:hanging="576"/>
      </w:pPr>
      <w:rPr>
        <w:rFonts w:hint="default"/>
      </w:rPr>
    </w:lvl>
    <w:lvl w:ilvl="7">
      <w:start w:val="0"/>
      <w:numFmt w:val="bullet"/>
      <w:lvlText w:val="•"/>
      <w:lvlJc w:val="left"/>
      <w:pPr>
        <w:ind w:left="7442" w:hanging="576"/>
      </w:pPr>
      <w:rPr>
        <w:rFonts w:hint="default"/>
      </w:rPr>
    </w:lvl>
    <w:lvl w:ilvl="8">
      <w:start w:val="0"/>
      <w:numFmt w:val="bullet"/>
      <w:lvlText w:val="•"/>
      <w:lvlJc w:val="left"/>
      <w:pPr>
        <w:ind w:left="8228" w:hanging="576"/>
      </w:pPr>
      <w:rPr>
        <w:rFonts w:hint="default"/>
      </w:rPr>
    </w:lvl>
  </w:abstractNum>
  <w:abstractNum w:abstractNumId="2">
    <w:multiLevelType w:val="hybridMultilevel"/>
    <w:lvl w:ilvl="0">
      <w:start w:val="1"/>
      <w:numFmt w:val="decimal"/>
      <w:lvlText w:val="%1."/>
      <w:lvlJc w:val="left"/>
      <w:pPr>
        <w:ind w:left="107" w:hanging="443"/>
        <w:jc w:val="left"/>
      </w:pPr>
      <w:rPr>
        <w:rFonts w:hint="default" w:ascii="Arial" w:hAnsi="Arial" w:eastAsia="Arial" w:cs="Arial"/>
        <w:w w:val="99"/>
        <w:sz w:val="22"/>
        <w:szCs w:val="22"/>
      </w:rPr>
    </w:lvl>
    <w:lvl w:ilvl="1">
      <w:start w:val="0"/>
      <w:numFmt w:val="bullet"/>
      <w:lvlText w:val="•"/>
      <w:lvlJc w:val="left"/>
      <w:pPr>
        <w:ind w:left="765" w:hanging="443"/>
      </w:pPr>
      <w:rPr>
        <w:rFonts w:hint="default"/>
      </w:rPr>
    </w:lvl>
    <w:lvl w:ilvl="2">
      <w:start w:val="0"/>
      <w:numFmt w:val="bullet"/>
      <w:lvlText w:val="•"/>
      <w:lvlJc w:val="left"/>
      <w:pPr>
        <w:ind w:left="1431" w:hanging="443"/>
      </w:pPr>
      <w:rPr>
        <w:rFonts w:hint="default"/>
      </w:rPr>
    </w:lvl>
    <w:lvl w:ilvl="3">
      <w:start w:val="0"/>
      <w:numFmt w:val="bullet"/>
      <w:lvlText w:val="•"/>
      <w:lvlJc w:val="left"/>
      <w:pPr>
        <w:ind w:left="2097" w:hanging="443"/>
      </w:pPr>
      <w:rPr>
        <w:rFonts w:hint="default"/>
      </w:rPr>
    </w:lvl>
    <w:lvl w:ilvl="4">
      <w:start w:val="0"/>
      <w:numFmt w:val="bullet"/>
      <w:lvlText w:val="•"/>
      <w:lvlJc w:val="left"/>
      <w:pPr>
        <w:ind w:left="2763" w:hanging="443"/>
      </w:pPr>
      <w:rPr>
        <w:rFonts w:hint="default"/>
      </w:rPr>
    </w:lvl>
    <w:lvl w:ilvl="5">
      <w:start w:val="0"/>
      <w:numFmt w:val="bullet"/>
      <w:lvlText w:val="•"/>
      <w:lvlJc w:val="left"/>
      <w:pPr>
        <w:ind w:left="3429" w:hanging="443"/>
      </w:pPr>
      <w:rPr>
        <w:rFonts w:hint="default"/>
      </w:rPr>
    </w:lvl>
    <w:lvl w:ilvl="6">
      <w:start w:val="0"/>
      <w:numFmt w:val="bullet"/>
      <w:lvlText w:val="•"/>
      <w:lvlJc w:val="left"/>
      <w:pPr>
        <w:ind w:left="4094" w:hanging="443"/>
      </w:pPr>
      <w:rPr>
        <w:rFonts w:hint="default"/>
      </w:rPr>
    </w:lvl>
    <w:lvl w:ilvl="7">
      <w:start w:val="0"/>
      <w:numFmt w:val="bullet"/>
      <w:lvlText w:val="•"/>
      <w:lvlJc w:val="left"/>
      <w:pPr>
        <w:ind w:left="4760" w:hanging="443"/>
      </w:pPr>
      <w:rPr>
        <w:rFonts w:hint="default"/>
      </w:rPr>
    </w:lvl>
    <w:lvl w:ilvl="8">
      <w:start w:val="0"/>
      <w:numFmt w:val="bullet"/>
      <w:lvlText w:val="•"/>
      <w:lvlJc w:val="left"/>
      <w:pPr>
        <w:ind w:left="5426" w:hanging="443"/>
      </w:pPr>
      <w:rPr>
        <w:rFonts w:hint="default"/>
      </w:rPr>
    </w:lvl>
  </w:abstractNum>
  <w:abstractNum w:abstractNumId="1">
    <w:multiLevelType w:val="hybridMultilevel"/>
    <w:lvl w:ilvl="0">
      <w:start w:val="1"/>
      <w:numFmt w:val="decimal"/>
      <w:lvlText w:val="%1."/>
      <w:lvlJc w:val="left"/>
      <w:pPr>
        <w:ind w:left="1948" w:hanging="576"/>
        <w:jc w:val="left"/>
      </w:pPr>
      <w:rPr>
        <w:rFonts w:hint="default" w:ascii="Arial" w:hAnsi="Arial" w:eastAsia="Arial" w:cs="Arial"/>
        <w:w w:val="99"/>
        <w:sz w:val="22"/>
        <w:szCs w:val="22"/>
      </w:rPr>
    </w:lvl>
    <w:lvl w:ilvl="1">
      <w:start w:val="0"/>
      <w:numFmt w:val="bullet"/>
      <w:lvlText w:val="•"/>
      <w:lvlJc w:val="left"/>
      <w:pPr>
        <w:ind w:left="2726" w:hanging="576"/>
      </w:pPr>
      <w:rPr>
        <w:rFonts w:hint="default"/>
      </w:rPr>
    </w:lvl>
    <w:lvl w:ilvl="2">
      <w:start w:val="0"/>
      <w:numFmt w:val="bullet"/>
      <w:lvlText w:val="•"/>
      <w:lvlJc w:val="left"/>
      <w:pPr>
        <w:ind w:left="3512" w:hanging="576"/>
      </w:pPr>
      <w:rPr>
        <w:rFonts w:hint="default"/>
      </w:rPr>
    </w:lvl>
    <w:lvl w:ilvl="3">
      <w:start w:val="0"/>
      <w:numFmt w:val="bullet"/>
      <w:lvlText w:val="•"/>
      <w:lvlJc w:val="left"/>
      <w:pPr>
        <w:ind w:left="4298" w:hanging="576"/>
      </w:pPr>
      <w:rPr>
        <w:rFonts w:hint="default"/>
      </w:rPr>
    </w:lvl>
    <w:lvl w:ilvl="4">
      <w:start w:val="0"/>
      <w:numFmt w:val="bullet"/>
      <w:lvlText w:val="•"/>
      <w:lvlJc w:val="left"/>
      <w:pPr>
        <w:ind w:left="5084" w:hanging="576"/>
      </w:pPr>
      <w:rPr>
        <w:rFonts w:hint="default"/>
      </w:rPr>
    </w:lvl>
    <w:lvl w:ilvl="5">
      <w:start w:val="0"/>
      <w:numFmt w:val="bullet"/>
      <w:lvlText w:val="•"/>
      <w:lvlJc w:val="left"/>
      <w:pPr>
        <w:ind w:left="5870" w:hanging="576"/>
      </w:pPr>
      <w:rPr>
        <w:rFonts w:hint="default"/>
      </w:rPr>
    </w:lvl>
    <w:lvl w:ilvl="6">
      <w:start w:val="0"/>
      <w:numFmt w:val="bullet"/>
      <w:lvlText w:val="•"/>
      <w:lvlJc w:val="left"/>
      <w:pPr>
        <w:ind w:left="6656" w:hanging="576"/>
      </w:pPr>
      <w:rPr>
        <w:rFonts w:hint="default"/>
      </w:rPr>
    </w:lvl>
    <w:lvl w:ilvl="7">
      <w:start w:val="0"/>
      <w:numFmt w:val="bullet"/>
      <w:lvlText w:val="•"/>
      <w:lvlJc w:val="left"/>
      <w:pPr>
        <w:ind w:left="7442" w:hanging="576"/>
      </w:pPr>
      <w:rPr>
        <w:rFonts w:hint="default"/>
      </w:rPr>
    </w:lvl>
    <w:lvl w:ilvl="8">
      <w:start w:val="0"/>
      <w:numFmt w:val="bullet"/>
      <w:lvlText w:val="•"/>
      <w:lvlJc w:val="left"/>
      <w:pPr>
        <w:ind w:left="8228" w:hanging="576"/>
      </w:pPr>
      <w:rPr>
        <w:rFonts w:hint="default"/>
      </w:rPr>
    </w:lvl>
  </w:abstractNum>
  <w:abstractNum w:abstractNumId="0">
    <w:multiLevelType w:val="hybridMultilevel"/>
    <w:lvl w:ilvl="0">
      <w:start w:val="19"/>
      <w:numFmt w:val="decimal"/>
      <w:lvlText w:val="%1"/>
      <w:lvlJc w:val="left"/>
      <w:pPr>
        <w:ind w:left="220" w:hanging="829"/>
        <w:jc w:val="left"/>
      </w:pPr>
      <w:rPr>
        <w:rFonts w:hint="default"/>
      </w:rPr>
    </w:lvl>
    <w:lvl w:ilvl="1">
      <w:start w:val="1"/>
      <w:numFmt w:val="decimalZero"/>
      <w:lvlText w:val="%1-%2"/>
      <w:lvlJc w:val="left"/>
      <w:pPr>
        <w:ind w:left="220" w:hanging="829"/>
        <w:jc w:val="left"/>
      </w:pPr>
      <w:rPr>
        <w:rFonts w:hint="default" w:ascii="Arial" w:hAnsi="Arial" w:eastAsia="Arial" w:cs="Arial"/>
        <w:w w:val="99"/>
        <w:sz w:val="22"/>
        <w:szCs w:val="22"/>
        <w:u w:val="single" w:color="000000"/>
      </w:rPr>
    </w:lvl>
    <w:lvl w:ilvl="2">
      <w:start w:val="1"/>
      <w:numFmt w:val="decimal"/>
      <w:lvlText w:val="%3."/>
      <w:lvlJc w:val="left"/>
      <w:pPr>
        <w:ind w:left="1372" w:hanging="576"/>
        <w:jc w:val="left"/>
      </w:pPr>
      <w:rPr>
        <w:rFonts w:hint="default" w:ascii="Arial" w:hAnsi="Arial" w:eastAsia="Arial" w:cs="Arial"/>
        <w:w w:val="99"/>
        <w:sz w:val="22"/>
        <w:szCs w:val="22"/>
      </w:rPr>
    </w:lvl>
    <w:lvl w:ilvl="3">
      <w:start w:val="1"/>
      <w:numFmt w:val="decimal"/>
      <w:lvlText w:val="%4."/>
      <w:lvlJc w:val="left"/>
      <w:pPr>
        <w:ind w:left="2523" w:hanging="576"/>
        <w:jc w:val="left"/>
      </w:pPr>
      <w:rPr>
        <w:rFonts w:hint="default" w:ascii="Arial" w:hAnsi="Arial" w:eastAsia="Arial" w:cs="Arial"/>
        <w:w w:val="99"/>
        <w:sz w:val="22"/>
        <w:szCs w:val="22"/>
      </w:rPr>
    </w:lvl>
    <w:lvl w:ilvl="4">
      <w:start w:val="0"/>
      <w:numFmt w:val="bullet"/>
      <w:lvlText w:val="•"/>
      <w:lvlJc w:val="left"/>
      <w:pPr>
        <w:ind w:left="3560" w:hanging="576"/>
      </w:pPr>
      <w:rPr>
        <w:rFonts w:hint="default"/>
      </w:rPr>
    </w:lvl>
    <w:lvl w:ilvl="5">
      <w:start w:val="0"/>
      <w:numFmt w:val="bullet"/>
      <w:lvlText w:val="•"/>
      <w:lvlJc w:val="left"/>
      <w:pPr>
        <w:ind w:left="4600" w:hanging="576"/>
      </w:pPr>
      <w:rPr>
        <w:rFonts w:hint="default"/>
      </w:rPr>
    </w:lvl>
    <w:lvl w:ilvl="6">
      <w:start w:val="0"/>
      <w:numFmt w:val="bullet"/>
      <w:lvlText w:val="•"/>
      <w:lvlJc w:val="left"/>
      <w:pPr>
        <w:ind w:left="5640" w:hanging="576"/>
      </w:pPr>
      <w:rPr>
        <w:rFonts w:hint="default"/>
      </w:rPr>
    </w:lvl>
    <w:lvl w:ilvl="7">
      <w:start w:val="0"/>
      <w:numFmt w:val="bullet"/>
      <w:lvlText w:val="•"/>
      <w:lvlJc w:val="left"/>
      <w:pPr>
        <w:ind w:left="6680" w:hanging="576"/>
      </w:pPr>
      <w:rPr>
        <w:rFonts w:hint="default"/>
      </w:rPr>
    </w:lvl>
    <w:lvl w:ilvl="8">
      <w:start w:val="0"/>
      <w:numFmt w:val="bullet"/>
      <w:lvlText w:val="•"/>
      <w:lvlJc w:val="left"/>
      <w:pPr>
        <w:ind w:left="7720" w:hanging="576"/>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1947" w:hanging="577"/>
      <w:jc w:val="both"/>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jboerge</dc:creator>
  <dc:title>Microsoft Word - t179-19.doc</dc:title>
  <dcterms:created xsi:type="dcterms:W3CDTF">2023-12-13T19:35:39Z</dcterms:created>
  <dcterms:modified xsi:type="dcterms:W3CDTF">2023-12-13T19:35:39Z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2005-11-16T00:00:00Z</vt:filetime>
  </property>
  <property fmtid="{D5CDD505-2E9C-101B-9397-08002B2CF9AE}" pid="3" name="Creator">
    <vt:lpwstr>PScript5.dll Version 5.2</vt:lpwstr>
  </property>
  <property fmtid="{D5CDD505-2E9C-101B-9397-08002B2CF9AE}" pid="4" name="LastSaved">
    <vt:filetime>2023-12-13T00:00:00Z</vt:filetime>
  </property>
</Properties>
</file>